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9" w:rsidRPr="00747443" w:rsidRDefault="006332D1" w:rsidP="00273EC9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5080</wp:posOffset>
            </wp:positionV>
            <wp:extent cx="1390650" cy="539750"/>
            <wp:effectExtent l="19050" t="0" r="0" b="0"/>
            <wp:wrapSquare wrapText="bothSides"/>
            <wp:docPr id="4" name="Image 1" descr="français_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ançais_or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675" b="2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26D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23.25pt;margin-top:-18.05pt;width:276.75pt;height:79.6pt;z-index:251655680;mso-position-horizontal-relative:margin;mso-position-vertical-relative:margin" strokecolor="#4f81bd" strokeweight="2.5pt">
            <v:shadow color="#868686"/>
            <v:textbox style="mso-next-textbox:#_x0000_s1027">
              <w:txbxContent>
                <w:p w:rsidR="005C41D9" w:rsidRDefault="005C41D9" w:rsidP="008A267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FD2787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La maternelle autrement</w:t>
                  </w:r>
                </w:p>
                <w:p w:rsidR="005C41D9" w:rsidRPr="00FD2787" w:rsidRDefault="005C41D9" w:rsidP="008A2671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5C41D9" w:rsidRPr="00FD2787" w:rsidRDefault="00014D32" w:rsidP="008A267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Brève N°8</w:t>
                  </w:r>
                  <w:r w:rsidR="005C41D9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 : LE JEU</w:t>
                  </w:r>
                </w:p>
              </w:txbxContent>
            </v:textbox>
            <w10:wrap type="square" anchorx="margin" anchory="margin"/>
          </v:shape>
        </w:pict>
      </w:r>
    </w:p>
    <w:p w:rsidR="005C41D9" w:rsidRPr="00747443" w:rsidRDefault="005C41D9" w:rsidP="00273EC9"/>
    <w:p w:rsidR="005C41D9" w:rsidRDefault="005C41D9" w:rsidP="00273EC9"/>
    <w:p w:rsidR="005C41D9" w:rsidRDefault="005C41D9" w:rsidP="00273EC9"/>
    <w:p w:rsidR="005C41D9" w:rsidRDefault="005C41D9" w:rsidP="00273EC9"/>
    <w:p w:rsidR="005C41D9" w:rsidRPr="00747443" w:rsidRDefault="0068426D" w:rsidP="00273EC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05pt;margin-top:2.75pt;width:530.85pt;height:72.25pt;z-index:251657728">
            <v:textbox>
              <w:txbxContent>
                <w:p w:rsidR="005C41D9" w:rsidRPr="001D5B6D" w:rsidRDefault="005C41D9" w:rsidP="00953C7D">
                  <w:pPr>
                    <w:jc w:val="both"/>
                    <w:rPr>
                      <w:i/>
                    </w:rPr>
                  </w:pPr>
                  <w:r w:rsidRPr="001D5B6D">
                    <w:rPr>
                      <w:i/>
                    </w:rPr>
                    <w:t>Le jeu est essentiel au développement physique, social et psychique de l’enfant. A l’école, le premier cycle est concomitant de cette nécessité de pratiquer quotidiennement ces jeux d’exploration, symboliques, de construction et à règles, pour un bon développement neurologique, cognitif et psycho-affectif de l’enfant.</w:t>
                  </w:r>
                  <w:r>
                    <w:rPr>
                      <w:i/>
                    </w:rPr>
                    <w:t xml:space="preserve"> Le jeu est souvent un appui pédagogique efficace et pertinent pour poser les fondations sur lesquelles s’appuieront ultérieurement des apprentissages disciplinaires.</w:t>
                  </w:r>
                </w:p>
              </w:txbxContent>
            </v:textbox>
          </v:shape>
        </w:pict>
      </w:r>
    </w:p>
    <w:p w:rsidR="005C41D9" w:rsidRPr="00747443" w:rsidRDefault="005C41D9" w:rsidP="00273EC9"/>
    <w:p w:rsidR="005C41D9" w:rsidRPr="00747443" w:rsidRDefault="005C41D9" w:rsidP="00273EC9"/>
    <w:p w:rsidR="005C41D9" w:rsidRPr="00747443" w:rsidRDefault="005C41D9" w:rsidP="00273EC9"/>
    <w:p w:rsidR="005C41D9" w:rsidRPr="00747443" w:rsidRDefault="005C41D9" w:rsidP="00273EC9"/>
    <w:p w:rsidR="005C41D9" w:rsidRDefault="005C41D9" w:rsidP="00273EC9"/>
    <w:p w:rsidR="005C41D9" w:rsidRDefault="005C41D9" w:rsidP="00273EC9"/>
    <w:p w:rsidR="005C41D9" w:rsidRPr="00F42F42" w:rsidRDefault="005C41D9" w:rsidP="00273EC9">
      <w:r>
        <w:t>Extraits du document d’accompagnement des programmes de l’école maternelle « Jouer et apprendre » édité sur Eduscol (</w:t>
      </w:r>
      <w:hyperlink r:id="rId8" w:history="1">
        <w:r w:rsidRPr="0037025E">
          <w:rPr>
            <w:rStyle w:val="Lienhypertexte"/>
          </w:rPr>
          <w:t>http://eduscol.education.fr/cid91995/apprendre-jouant.html</w:t>
        </w:r>
      </w:hyperlink>
      <w:r>
        <w:t xml:space="preserve"> )</w:t>
      </w:r>
    </w:p>
    <w:p w:rsidR="005C41D9" w:rsidRDefault="005C41D9" w:rsidP="00273EC9"/>
    <w:p w:rsidR="005C41D9" w:rsidRDefault="006332D1" w:rsidP="0015403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3872865" cy="2346325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1D9">
        <w:rPr>
          <w:rFonts w:ascii="ArialMT" w:hAnsi="ArialMT" w:cs="ArialMT"/>
          <w:sz w:val="20"/>
          <w:szCs w:val="20"/>
          <w:lang w:eastAsia="fr-FR"/>
        </w:rPr>
        <w:t xml:space="preserve">Les quatre types de jeux interagissent selon une logique systémique. Les jeux d’exploration amènent l’enfant à une première maîtrise de la manipulation des objets. Il commence alors à les organiser, à les combiner et s’engage vers les jeux d’assemblages et de construction (schéma </w:t>
      </w:r>
      <w:smartTag w:uri="urn:schemas-microsoft-com:office:smarttags" w:element="metricconverter">
        <w:smartTagPr>
          <w:attr w:name="ProductID" w:val="5, A"/>
        </w:smartTagPr>
        <w:r w:rsidR="005C41D9">
          <w:rPr>
            <w:rFonts w:ascii="ArialMT" w:hAnsi="ArialMT" w:cs="ArialMT"/>
            <w:sz w:val="20"/>
            <w:szCs w:val="20"/>
            <w:lang w:eastAsia="fr-FR"/>
          </w:rPr>
          <w:t xml:space="preserve">5, </w:t>
        </w:r>
        <w:r w:rsidR="005C41D9">
          <w:rPr>
            <w:rFonts w:ascii="Arial-BoldMT" w:hAnsi="Arial-BoldMT" w:cs="Arial-BoldMT"/>
            <w:b/>
            <w:bCs/>
            <w:sz w:val="20"/>
            <w:szCs w:val="20"/>
            <w:lang w:eastAsia="fr-FR"/>
          </w:rPr>
          <w:t>A</w:t>
        </w:r>
      </w:smartTag>
      <w:r w:rsidR="005C41D9">
        <w:rPr>
          <w:rFonts w:ascii="ArialMT" w:hAnsi="ArialMT" w:cs="ArialMT"/>
          <w:sz w:val="20"/>
          <w:szCs w:val="20"/>
          <w:lang w:eastAsia="fr-FR"/>
        </w:rPr>
        <w:t>).</w:t>
      </w:r>
      <w:r w:rsidR="005C41D9" w:rsidRPr="0015403D">
        <w:rPr>
          <w:rFonts w:ascii="ArialMT" w:hAnsi="ArialMT" w:cs="ArialMT"/>
          <w:sz w:val="20"/>
          <w:szCs w:val="20"/>
          <w:lang w:eastAsia="fr-FR"/>
        </w:rPr>
        <w:t xml:space="preserve"> </w:t>
      </w:r>
      <w:r w:rsidR="005C41D9">
        <w:rPr>
          <w:rFonts w:ascii="ArialMT" w:hAnsi="ArialMT" w:cs="ArialMT"/>
          <w:sz w:val="20"/>
          <w:szCs w:val="20"/>
          <w:lang w:eastAsia="fr-FR"/>
        </w:rPr>
        <w:t xml:space="preserve">Parallèlement, cette maîtrise des objets l’amène </w:t>
      </w:r>
      <w:r w:rsidR="005C41D9">
        <w:rPr>
          <w:rFonts w:ascii="Arial-BoldMT" w:hAnsi="Arial-BoldMT" w:cs="Arial-BoldMT"/>
          <w:b/>
          <w:bCs/>
          <w:sz w:val="20"/>
          <w:szCs w:val="20"/>
          <w:lang w:eastAsia="fr-FR"/>
        </w:rPr>
        <w:t xml:space="preserve">(B) </w:t>
      </w:r>
      <w:r w:rsidR="005C41D9">
        <w:rPr>
          <w:rFonts w:ascii="ArialMT" w:hAnsi="ArialMT" w:cs="ArialMT"/>
          <w:sz w:val="20"/>
          <w:szCs w:val="20"/>
          <w:lang w:eastAsia="fr-FR"/>
        </w:rPr>
        <w:t xml:space="preserve">à les utiliser et à leur donner des rôles ou des fonctions dans ses jeux symboliques. En </w:t>
      </w:r>
      <w:r w:rsidR="005C41D9">
        <w:rPr>
          <w:rFonts w:ascii="Arial-BoldMT" w:hAnsi="Arial-BoldMT" w:cs="Arial-BoldMT"/>
          <w:b/>
          <w:bCs/>
          <w:sz w:val="20"/>
          <w:szCs w:val="20"/>
          <w:lang w:eastAsia="fr-FR"/>
        </w:rPr>
        <w:t>(C)</w:t>
      </w:r>
      <w:r w:rsidR="005C41D9">
        <w:rPr>
          <w:rFonts w:ascii="ArialMT" w:hAnsi="ArialMT" w:cs="ArialMT"/>
          <w:sz w:val="20"/>
          <w:szCs w:val="20"/>
          <w:lang w:eastAsia="fr-FR"/>
        </w:rPr>
        <w:t>, les jeux d’imitation immédiate prennent un caractère différé</w:t>
      </w:r>
    </w:p>
    <w:p w:rsidR="005C41D9" w:rsidRDefault="005C41D9" w:rsidP="0015403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fr-FR"/>
        </w:rPr>
      </w:pPr>
      <w:r>
        <w:rPr>
          <w:rFonts w:ascii="ArialMT" w:hAnsi="ArialMT" w:cs="ArialMT"/>
          <w:sz w:val="20"/>
          <w:szCs w:val="20"/>
          <w:lang w:eastAsia="fr-FR"/>
        </w:rPr>
        <w:t xml:space="preserve">(vers 3 ans). Ils s’enrichissent alors progressivement de règles arbitraires évolutives, dans des jeux de « faire semblant » puis des « jeux scénarisés » (imitation différée). Il en est de même en </w:t>
      </w:r>
      <w:r>
        <w:rPr>
          <w:rFonts w:ascii="Arial-BoldMT" w:hAnsi="Arial-BoldMT" w:cs="Arial-BoldMT"/>
          <w:b/>
          <w:bCs/>
          <w:sz w:val="20"/>
          <w:szCs w:val="20"/>
          <w:lang w:eastAsia="fr-FR"/>
        </w:rPr>
        <w:t xml:space="preserve">(D) </w:t>
      </w:r>
      <w:r>
        <w:rPr>
          <w:rFonts w:ascii="ArialMT" w:hAnsi="ArialMT" w:cs="ArialMT"/>
          <w:sz w:val="20"/>
          <w:szCs w:val="20"/>
          <w:lang w:eastAsia="fr-FR"/>
        </w:rPr>
        <w:t>avec des</w:t>
      </w:r>
    </w:p>
    <w:p w:rsidR="005C41D9" w:rsidRDefault="005C41D9" w:rsidP="0015403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fr-FR"/>
        </w:rPr>
      </w:pPr>
      <w:r>
        <w:rPr>
          <w:rFonts w:ascii="ArialMT" w:hAnsi="ArialMT" w:cs="ArialMT"/>
          <w:sz w:val="20"/>
          <w:szCs w:val="20"/>
          <w:lang w:eastAsia="fr-FR"/>
        </w:rPr>
        <w:t xml:space="preserve">jeux de constructions. La zone </w:t>
      </w:r>
      <w:r>
        <w:rPr>
          <w:rFonts w:ascii="Arial-BoldMT" w:hAnsi="Arial-BoldMT" w:cs="Arial-BoldMT"/>
          <w:b/>
          <w:bCs/>
          <w:sz w:val="20"/>
          <w:szCs w:val="20"/>
          <w:lang w:eastAsia="fr-FR"/>
        </w:rPr>
        <w:t xml:space="preserve">(E) </w:t>
      </w:r>
      <w:r>
        <w:rPr>
          <w:rFonts w:ascii="ArialMT" w:hAnsi="ArialMT" w:cs="ArialMT"/>
          <w:sz w:val="20"/>
          <w:szCs w:val="20"/>
          <w:lang w:eastAsia="fr-FR"/>
        </w:rPr>
        <w:t>symbolise les interactions multiples entre les différents types de jeux, parmi lesquelles apparaît une phase d’exploration avant d’entreprendre un jeu à règles.</w:t>
      </w:r>
    </w:p>
    <w:p w:rsidR="005C41D9" w:rsidRDefault="005C41D9" w:rsidP="0015403D">
      <w:pPr>
        <w:autoSpaceDE w:val="0"/>
        <w:autoSpaceDN w:val="0"/>
        <w:adjustRightInd w:val="0"/>
        <w:jc w:val="both"/>
      </w:pPr>
      <w:r>
        <w:rPr>
          <w:rFonts w:ascii="ArialMT" w:hAnsi="ArialMT" w:cs="ArialMT"/>
          <w:sz w:val="20"/>
          <w:szCs w:val="20"/>
          <w:lang w:eastAsia="fr-FR"/>
        </w:rPr>
        <w:t>Les différents types de jeux sont à proposer à l’enfant selon un ordre chronologique, en accord avec les besoins et possibilités liés à son développement. Ils cohabitent ensuite et fonctionnent en synergie.</w:t>
      </w:r>
    </w:p>
    <w:p w:rsidR="005C41D9" w:rsidRDefault="005C41D9" w:rsidP="0015403D">
      <w:pPr>
        <w:jc w:val="both"/>
      </w:pPr>
    </w:p>
    <w:p w:rsidR="005C41D9" w:rsidRDefault="005C41D9" w:rsidP="0015403D">
      <w:pPr>
        <w:jc w:val="both"/>
      </w:pPr>
    </w:p>
    <w:p w:rsidR="005C41D9" w:rsidRPr="00601D2F" w:rsidRDefault="005C41D9" w:rsidP="0015403D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  <w:lang w:eastAsia="fr-FR"/>
        </w:rPr>
      </w:pPr>
      <w:r>
        <w:rPr>
          <w:rFonts w:ascii="ArialMT" w:hAnsi="ArialMT" w:cs="ArialMT"/>
          <w:b/>
          <w:sz w:val="20"/>
          <w:szCs w:val="20"/>
          <w:lang w:eastAsia="fr-FR"/>
        </w:rPr>
        <w:t>A</w:t>
      </w:r>
      <w:r w:rsidRPr="00601D2F">
        <w:rPr>
          <w:rFonts w:ascii="ArialMT" w:hAnsi="ArialMT" w:cs="ArialMT"/>
          <w:b/>
          <w:sz w:val="20"/>
          <w:szCs w:val="20"/>
          <w:lang w:eastAsia="fr-FR"/>
        </w:rPr>
        <w:t xml:space="preserve"> l’école maternelle</w:t>
      </w:r>
      <w:r>
        <w:rPr>
          <w:rFonts w:ascii="ArialMT" w:hAnsi="ArialMT" w:cs="ArialMT"/>
          <w:b/>
          <w:sz w:val="20"/>
          <w:szCs w:val="20"/>
          <w:lang w:eastAsia="fr-FR"/>
        </w:rPr>
        <w:t xml:space="preserve">, </w:t>
      </w:r>
      <w:r w:rsidRPr="00601D2F">
        <w:rPr>
          <w:rFonts w:ascii="ArialMT" w:hAnsi="ArialMT" w:cs="ArialMT"/>
          <w:b/>
          <w:sz w:val="20"/>
          <w:szCs w:val="20"/>
          <w:lang w:eastAsia="fr-FR"/>
        </w:rPr>
        <w:t xml:space="preserve"> </w:t>
      </w:r>
      <w:r>
        <w:rPr>
          <w:rFonts w:ascii="ArialMT" w:hAnsi="ArialMT" w:cs="ArialMT"/>
          <w:b/>
          <w:sz w:val="20"/>
          <w:szCs w:val="20"/>
          <w:lang w:eastAsia="fr-FR"/>
        </w:rPr>
        <w:t>c</w:t>
      </w:r>
      <w:r w:rsidRPr="00601D2F">
        <w:rPr>
          <w:rFonts w:ascii="ArialMT" w:hAnsi="ArialMT" w:cs="ArialMT"/>
          <w:b/>
          <w:sz w:val="20"/>
          <w:szCs w:val="20"/>
          <w:lang w:eastAsia="fr-FR"/>
        </w:rPr>
        <w:t xml:space="preserve">es quatre formes </w:t>
      </w:r>
      <w:r>
        <w:rPr>
          <w:rFonts w:ascii="ArialMT" w:hAnsi="ArialMT" w:cs="ArialMT"/>
          <w:b/>
          <w:sz w:val="20"/>
          <w:szCs w:val="20"/>
          <w:lang w:eastAsia="fr-FR"/>
        </w:rPr>
        <w:t xml:space="preserve"> </w:t>
      </w:r>
      <w:r w:rsidRPr="00601D2F">
        <w:rPr>
          <w:rFonts w:ascii="ArialMT" w:hAnsi="ArialMT" w:cs="ArialMT"/>
          <w:b/>
          <w:sz w:val="20"/>
          <w:szCs w:val="20"/>
          <w:lang w:eastAsia="fr-FR"/>
        </w:rPr>
        <w:t>du jeu mises selon une logique spiralaire.</w:t>
      </w:r>
    </w:p>
    <w:p w:rsidR="005C41D9" w:rsidRDefault="005C41D9" w:rsidP="00601D2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fr-FR"/>
        </w:rPr>
      </w:pPr>
      <w:r>
        <w:rPr>
          <w:rFonts w:ascii="ArialMT" w:hAnsi="ArialMT" w:cs="ArialMT"/>
          <w:sz w:val="20"/>
          <w:szCs w:val="20"/>
          <w:lang w:eastAsia="fr-FR"/>
        </w:rPr>
        <w:t xml:space="preserve">L’exploration effectuée en </w:t>
      </w:r>
      <w:r w:rsidRPr="00601D2F">
        <w:rPr>
          <w:rFonts w:ascii="ArialMT" w:hAnsi="ArialMT" w:cs="ArialMT"/>
          <w:b/>
          <w:sz w:val="20"/>
          <w:szCs w:val="20"/>
          <w:lang w:eastAsia="fr-FR"/>
        </w:rPr>
        <w:t>jeu libre</w:t>
      </w:r>
      <w:r>
        <w:rPr>
          <w:rFonts w:ascii="ArialMT" w:hAnsi="ArialMT" w:cs="ArialMT"/>
          <w:b/>
          <w:sz w:val="20"/>
          <w:szCs w:val="20"/>
          <w:lang w:eastAsia="fr-FR"/>
        </w:rPr>
        <w:t xml:space="preserve"> (L1,L2)</w:t>
      </w:r>
      <w:r>
        <w:rPr>
          <w:rFonts w:ascii="ArialMT" w:hAnsi="ArialMT" w:cs="ArialMT"/>
          <w:sz w:val="20"/>
          <w:szCs w:val="20"/>
          <w:lang w:eastAsia="fr-FR"/>
        </w:rPr>
        <w:t xml:space="preserve"> est suivie par une </w:t>
      </w:r>
      <w:r w:rsidRPr="00601D2F">
        <w:rPr>
          <w:rFonts w:ascii="ArialMT" w:hAnsi="ArialMT" w:cs="ArialMT"/>
          <w:b/>
          <w:sz w:val="20"/>
          <w:szCs w:val="20"/>
          <w:lang w:eastAsia="fr-FR"/>
        </w:rPr>
        <w:t>phase de structuration</w:t>
      </w:r>
      <w:r>
        <w:rPr>
          <w:rFonts w:ascii="ArialMT" w:hAnsi="ArialMT" w:cs="ArialMT"/>
          <w:b/>
          <w:sz w:val="20"/>
          <w:szCs w:val="20"/>
          <w:lang w:eastAsia="fr-FR"/>
        </w:rPr>
        <w:t xml:space="preserve"> (S1,S2)</w:t>
      </w:r>
      <w:r>
        <w:rPr>
          <w:rFonts w:ascii="ArialMT" w:hAnsi="ArialMT" w:cs="ArialMT"/>
          <w:sz w:val="20"/>
          <w:szCs w:val="20"/>
          <w:lang w:eastAsia="fr-FR"/>
        </w:rPr>
        <w:t xml:space="preserve"> après laquelle l’enfant peut à nouveau choisir de s’adonner au même jeu libre. Les savoirs qu’il a acquis lui permettent alors de progresser et de se perfectionner en s’entraînant selon son propre rythme.</w:t>
      </w:r>
    </w:p>
    <w:p w:rsidR="005C41D9" w:rsidRDefault="005C41D9" w:rsidP="00601D2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fr-FR"/>
        </w:rPr>
      </w:pPr>
    </w:p>
    <w:p w:rsidR="005C41D9" w:rsidRDefault="005C41D9" w:rsidP="00601D2F">
      <w:pPr>
        <w:autoSpaceDE w:val="0"/>
        <w:autoSpaceDN w:val="0"/>
        <w:adjustRightInd w:val="0"/>
      </w:pPr>
    </w:p>
    <w:p w:rsidR="005C41D9" w:rsidRPr="00747443" w:rsidRDefault="006332D1" w:rsidP="00273EC9">
      <w:r>
        <w:rPr>
          <w:noProof/>
          <w:lang w:eastAsia="fr-FR"/>
        </w:rPr>
        <w:drawing>
          <wp:inline distT="0" distB="0" distL="0" distR="0">
            <wp:extent cx="6631940" cy="221424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D9" w:rsidRDefault="005C41D9" w:rsidP="00273EC9">
      <w:pPr>
        <w:tabs>
          <w:tab w:val="left" w:pos="1590"/>
        </w:tabs>
      </w:pPr>
    </w:p>
    <w:p w:rsidR="005C41D9" w:rsidRDefault="005C41D9" w:rsidP="008E77B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br w:type="page"/>
      </w:r>
      <w:r>
        <w:rPr>
          <w:rFonts w:ascii="ArialMT" w:hAnsi="ArialMT" w:cs="ArialMT"/>
          <w:sz w:val="20"/>
          <w:szCs w:val="20"/>
        </w:rPr>
        <w:lastRenderedPageBreak/>
        <w:t>Le jeu libre participe à l’enrichissement des « représentations initiales » (RI) des enfants. Les apports de la recherche mettent en évidence leur rôle déterminant dans l’accès au savoir : pour apprendre, l’enfant doit d’abord établir des liens entre ce qu’il sait ou pense savoir et le contexte qui l’amènera à des apprentissages explicites.</w:t>
      </w:r>
    </w:p>
    <w:p w:rsidR="005C41D9" w:rsidRDefault="005C41D9" w:rsidP="008E77B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 schéma 4 ci-dessous propose une représentation du processus en trois étapes, qui permet à l’enfant d’acquérir des savoirs informels à partir desquels l’enseignant pourra lui proposer des jeux visant des apprentissages explicites.</w:t>
      </w:r>
    </w:p>
    <w:p w:rsidR="005C41D9" w:rsidRDefault="005C41D9" w:rsidP="008E77B6">
      <w:pPr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Schéma 4 : jouer, intégrer des représentations et les mobiliser pour apprendre</w:t>
      </w:r>
    </w:p>
    <w:p w:rsidR="005C41D9" w:rsidRDefault="005C41D9" w:rsidP="008E77B6">
      <w:pPr>
        <w:rPr>
          <w:rFonts w:ascii="Arial-ItalicMT" w:hAnsi="Arial-ItalicMT" w:cs="Arial-ItalicMT"/>
          <w:i/>
          <w:iCs/>
          <w:sz w:val="20"/>
          <w:szCs w:val="20"/>
        </w:rPr>
      </w:pPr>
    </w:p>
    <w:p w:rsidR="005C41D9" w:rsidRDefault="006332D1" w:rsidP="00AF1F0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33820" cy="1696720"/>
            <wp:effectExtent l="1905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D9" w:rsidRDefault="005C41D9" w:rsidP="00AF1F0C">
      <w:pPr>
        <w:jc w:val="center"/>
      </w:pPr>
    </w:p>
    <w:p w:rsidR="005C41D9" w:rsidRDefault="005C41D9" w:rsidP="00AF1F0C">
      <w:pPr>
        <w:jc w:val="center"/>
      </w:pPr>
    </w:p>
    <w:p w:rsidR="005C41D9" w:rsidRPr="00972400" w:rsidRDefault="005C41D9" w:rsidP="00AF1F0C">
      <w:pPr>
        <w:jc w:val="center"/>
      </w:pPr>
    </w:p>
    <w:p w:rsidR="005C41D9" w:rsidRDefault="006332D1" w:rsidP="00AF1F0C">
      <w:pPr>
        <w:tabs>
          <w:tab w:val="left" w:pos="1590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6532880" cy="4197350"/>
            <wp:effectExtent l="1905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D9" w:rsidRDefault="005C41D9" w:rsidP="00273EC9">
      <w:pPr>
        <w:tabs>
          <w:tab w:val="left" w:pos="1590"/>
        </w:tabs>
      </w:pPr>
    </w:p>
    <w:p w:rsidR="005C41D9" w:rsidRPr="00E0566E" w:rsidRDefault="005C41D9" w:rsidP="00140DA3">
      <w:pPr>
        <w:rPr>
          <w:rFonts w:ascii="Arial" w:hAnsi="Arial" w:cs="Arial"/>
          <w:sz w:val="20"/>
          <w:szCs w:val="20"/>
        </w:rPr>
      </w:pPr>
      <w:r w:rsidRPr="00E0566E">
        <w:rPr>
          <w:rFonts w:ascii="Arial" w:hAnsi="Arial" w:cs="Arial"/>
          <w:sz w:val="20"/>
          <w:szCs w:val="20"/>
        </w:rPr>
        <w:t xml:space="preserve">Des exemples </w:t>
      </w:r>
      <w:r>
        <w:rPr>
          <w:rFonts w:ascii="Arial" w:hAnsi="Arial" w:cs="Arial"/>
          <w:sz w:val="20"/>
          <w:szCs w:val="20"/>
        </w:rPr>
        <w:t>de</w:t>
      </w:r>
      <w:r w:rsidRPr="00E0566E">
        <w:rPr>
          <w:rFonts w:ascii="Arial" w:hAnsi="Arial" w:cs="Arial"/>
          <w:sz w:val="20"/>
          <w:szCs w:val="20"/>
        </w:rPr>
        <w:t xml:space="preserve"> vidéos</w:t>
      </w:r>
      <w:r>
        <w:rPr>
          <w:rFonts w:ascii="Arial" w:hAnsi="Arial" w:cs="Arial"/>
          <w:sz w:val="20"/>
          <w:szCs w:val="20"/>
        </w:rPr>
        <w:t xml:space="preserve"> </w:t>
      </w:r>
      <w:r w:rsidRPr="00E0566E">
        <w:rPr>
          <w:rFonts w:ascii="Arial" w:hAnsi="Arial" w:cs="Arial"/>
          <w:sz w:val="20"/>
          <w:szCs w:val="20"/>
        </w:rPr>
        <w:t xml:space="preserve">de jeux libres </w:t>
      </w:r>
      <w:r>
        <w:rPr>
          <w:rFonts w:ascii="Arial" w:hAnsi="Arial" w:cs="Arial"/>
          <w:sz w:val="20"/>
          <w:szCs w:val="20"/>
        </w:rPr>
        <w:t>proposés sur le site Eduscol</w:t>
      </w:r>
    </w:p>
    <w:p w:rsidR="005C41D9" w:rsidRDefault="005C41D9" w:rsidP="00140DA3">
      <w:pPr>
        <w:autoSpaceDE w:val="0"/>
        <w:autoSpaceDN w:val="0"/>
        <w:adjustRightInd w:val="0"/>
        <w:rPr>
          <w:rFonts w:ascii="ArialMT" w:hAnsi="ArialMT" w:cs="ArialMT"/>
          <w:color w:val="0084CA"/>
          <w:sz w:val="20"/>
          <w:szCs w:val="20"/>
        </w:rPr>
      </w:pPr>
      <w:r>
        <w:rPr>
          <w:rFonts w:ascii="ArialMT" w:hAnsi="ArialMT" w:cs="ArialMT"/>
          <w:color w:val="0084CA"/>
          <w:sz w:val="20"/>
          <w:szCs w:val="20"/>
        </w:rPr>
        <w:t>Vidéo : « La sortie des poupées »</w:t>
      </w:r>
    </w:p>
    <w:p w:rsidR="005C41D9" w:rsidRDefault="005C41D9" w:rsidP="00140DA3">
      <w:pPr>
        <w:rPr>
          <w:rFonts w:ascii="ArialMT" w:hAnsi="ArialMT" w:cs="ArialMT"/>
          <w:color w:val="0084CA"/>
          <w:sz w:val="20"/>
          <w:szCs w:val="20"/>
        </w:rPr>
      </w:pPr>
      <w:r>
        <w:rPr>
          <w:rFonts w:ascii="ArialMT" w:hAnsi="ArialMT" w:cs="ArialMT"/>
          <w:color w:val="0084CA"/>
          <w:sz w:val="20"/>
          <w:szCs w:val="20"/>
        </w:rPr>
        <w:t>Vidéo : « Le jeu du docteur »</w:t>
      </w:r>
    </w:p>
    <w:p w:rsidR="005C41D9" w:rsidRPr="00E0566E" w:rsidRDefault="005C41D9" w:rsidP="00140DA3">
      <w:pPr>
        <w:rPr>
          <w:rFonts w:ascii="Arial" w:hAnsi="Arial" w:cs="Arial"/>
          <w:sz w:val="20"/>
          <w:szCs w:val="20"/>
        </w:rPr>
      </w:pPr>
      <w:r w:rsidRPr="00E0566E">
        <w:rPr>
          <w:rFonts w:ascii="Arial" w:hAnsi="Arial" w:cs="Arial"/>
          <w:sz w:val="20"/>
          <w:szCs w:val="20"/>
        </w:rPr>
        <w:t>Des exemples de jeux structurés</w:t>
      </w:r>
    </w:p>
    <w:p w:rsidR="005C41D9" w:rsidRDefault="005C41D9" w:rsidP="00140DA3">
      <w:pPr>
        <w:autoSpaceDE w:val="0"/>
        <w:autoSpaceDN w:val="0"/>
        <w:adjustRightInd w:val="0"/>
        <w:rPr>
          <w:rFonts w:ascii="ArialMT" w:hAnsi="ArialMT" w:cs="ArialMT"/>
          <w:color w:val="0084CA"/>
          <w:sz w:val="20"/>
          <w:szCs w:val="20"/>
        </w:rPr>
      </w:pPr>
      <w:r>
        <w:rPr>
          <w:rFonts w:ascii="ArialMT" w:hAnsi="ArialMT" w:cs="ArialMT"/>
          <w:color w:val="0084CA"/>
          <w:sz w:val="20"/>
          <w:szCs w:val="20"/>
        </w:rPr>
        <w:t>Vidéo : « Jeu de construction »</w:t>
      </w:r>
    </w:p>
    <w:p w:rsidR="005C41D9" w:rsidRDefault="005C41D9" w:rsidP="00140DA3">
      <w:pPr>
        <w:rPr>
          <w:rFonts w:ascii="ArialMT" w:hAnsi="ArialMT" w:cs="ArialMT"/>
          <w:color w:val="0084CA"/>
          <w:sz w:val="20"/>
          <w:szCs w:val="20"/>
        </w:rPr>
      </w:pPr>
      <w:r>
        <w:rPr>
          <w:rFonts w:ascii="ArialMT" w:hAnsi="ArialMT" w:cs="ArialMT"/>
          <w:color w:val="0084CA"/>
          <w:sz w:val="20"/>
          <w:szCs w:val="20"/>
        </w:rPr>
        <w:t>Vidéo : « Le tunnel du Petit Louvre »</w:t>
      </w:r>
    </w:p>
    <w:p w:rsidR="005C41D9" w:rsidRDefault="0068426D" w:rsidP="00273EC9">
      <w:pPr>
        <w:tabs>
          <w:tab w:val="left" w:pos="1590"/>
        </w:tabs>
      </w:pPr>
      <w:r>
        <w:rPr>
          <w:noProof/>
          <w:lang w:eastAsia="fr-FR"/>
        </w:rPr>
        <w:pict>
          <v:shape id="_x0000_s1030" type="#_x0000_t202" style="position:absolute;margin-left:26.45pt;margin-top:8.2pt;width:459.75pt;height:85.35pt;z-index:251656704" strokecolor="#4f81bd" strokeweight="1pt">
            <v:stroke dashstyle="dash"/>
            <v:shadow color="#868686"/>
            <v:textbox>
              <w:txbxContent>
                <w:p w:rsidR="005C41D9" w:rsidRDefault="005C41D9" w:rsidP="00FD2787">
                  <w:pPr>
                    <w:jc w:val="both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FD2787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Bibliographie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 : </w:t>
                  </w:r>
                </w:p>
                <w:p w:rsidR="005C41D9" w:rsidRPr="00AF1F0C" w:rsidRDefault="005C41D9" w:rsidP="00FD2787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AF1F0C">
                    <w:rPr>
                      <w:rFonts w:ascii="Bookman Old Style" w:hAnsi="Bookman Old Style"/>
                      <w:sz w:val="20"/>
                      <w:szCs w:val="20"/>
                    </w:rPr>
                    <w:t>WALLON Henri (1ére édition 1941), L’évolution psychologique de l’enfant</w:t>
                  </w:r>
                </w:p>
                <w:p w:rsidR="005C41D9" w:rsidRPr="00AF1F0C" w:rsidRDefault="005C41D9" w:rsidP="00FD2787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AF1F0C">
                    <w:rPr>
                      <w:rFonts w:ascii="Bookman Old Style" w:hAnsi="Bookman Old Style"/>
                      <w:sz w:val="20"/>
                      <w:szCs w:val="20"/>
                    </w:rPr>
                    <w:t>CAILLOIS Roger (1967), Les jeux et les hommes, le masque et le vertige</w:t>
                  </w:r>
                </w:p>
                <w:p w:rsidR="005C41D9" w:rsidRPr="00AF1F0C" w:rsidRDefault="005C41D9" w:rsidP="00FD2787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AF1F0C">
                    <w:rPr>
                      <w:rFonts w:ascii="Bookman Old Style" w:hAnsi="Bookman Old Style"/>
                      <w:sz w:val="20"/>
                      <w:szCs w:val="20"/>
                    </w:rPr>
                    <w:t>GUTTON Philippe (1989), Le jeu et l’enfant, GREUPP</w:t>
                  </w:r>
                </w:p>
                <w:p w:rsidR="005C41D9" w:rsidRPr="00AF1F0C" w:rsidRDefault="005C41D9" w:rsidP="00FD2787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AF1F0C">
                    <w:rPr>
                      <w:rFonts w:ascii="Bookman Old Style" w:hAnsi="Bookman Old Style"/>
                      <w:sz w:val="20"/>
                      <w:szCs w:val="20"/>
                    </w:rPr>
                    <w:t>BROUGERE Gilles (2000), Jet et Education, L’HARMATTAN</w:t>
                  </w:r>
                </w:p>
                <w:p w:rsidR="005C41D9" w:rsidRPr="00AF1F0C" w:rsidRDefault="005C41D9" w:rsidP="00FD2787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AF1F0C">
                    <w:rPr>
                      <w:rFonts w:ascii="Bookman Old Style" w:hAnsi="Bookman Old Style"/>
                      <w:sz w:val="20"/>
                      <w:szCs w:val="20"/>
                    </w:rPr>
                    <w:t>Document d’accompagnement 2015, jouer et apprendre, cadre général</w:t>
                  </w:r>
                </w:p>
              </w:txbxContent>
            </v:textbox>
          </v:shape>
        </w:pict>
      </w:r>
    </w:p>
    <w:sectPr w:rsidR="005C41D9" w:rsidSect="00E56F73">
      <w:pgSz w:w="11906" w:h="16838"/>
      <w:pgMar w:top="851" w:right="851" w:bottom="851" w:left="85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0D" w:rsidRDefault="005F710D" w:rsidP="00A53A83">
      <w:r>
        <w:separator/>
      </w:r>
    </w:p>
  </w:endnote>
  <w:endnote w:type="continuationSeparator" w:id="1">
    <w:p w:rsidR="005F710D" w:rsidRDefault="005F710D" w:rsidP="00A5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0D" w:rsidRDefault="005F710D" w:rsidP="00A53A83">
      <w:r>
        <w:separator/>
      </w:r>
    </w:p>
  </w:footnote>
  <w:footnote w:type="continuationSeparator" w:id="1">
    <w:p w:rsidR="005F710D" w:rsidRDefault="005F710D" w:rsidP="00A53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1DA"/>
    <w:multiLevelType w:val="hybridMultilevel"/>
    <w:tmpl w:val="AE884238"/>
    <w:lvl w:ilvl="0" w:tplc="848EAD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A5EE3"/>
    <w:multiLevelType w:val="hybridMultilevel"/>
    <w:tmpl w:val="35D0B88E"/>
    <w:lvl w:ilvl="0" w:tplc="BF243CB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015"/>
    <w:multiLevelType w:val="hybridMultilevel"/>
    <w:tmpl w:val="744C17F8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1D19"/>
    <w:multiLevelType w:val="hybridMultilevel"/>
    <w:tmpl w:val="4F18A1E8"/>
    <w:lvl w:ilvl="0" w:tplc="564643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E4E11"/>
    <w:multiLevelType w:val="hybridMultilevel"/>
    <w:tmpl w:val="CB228CA6"/>
    <w:lvl w:ilvl="0" w:tplc="160E9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DB9"/>
    <w:multiLevelType w:val="hybridMultilevel"/>
    <w:tmpl w:val="1FCC2D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325F9"/>
    <w:multiLevelType w:val="hybridMultilevel"/>
    <w:tmpl w:val="E828EA0A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83B0B02"/>
    <w:multiLevelType w:val="hybridMultilevel"/>
    <w:tmpl w:val="23968428"/>
    <w:lvl w:ilvl="0" w:tplc="366AF3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055A0"/>
    <w:multiLevelType w:val="hybridMultilevel"/>
    <w:tmpl w:val="5F48C9F8"/>
    <w:lvl w:ilvl="0" w:tplc="C0086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72223"/>
    <w:multiLevelType w:val="hybridMultilevel"/>
    <w:tmpl w:val="D0E696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B3E32"/>
    <w:multiLevelType w:val="hybridMultilevel"/>
    <w:tmpl w:val="A55ADF9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E4956AD"/>
    <w:multiLevelType w:val="hybridMultilevel"/>
    <w:tmpl w:val="02DADFE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2B8796C"/>
    <w:multiLevelType w:val="hybridMultilevel"/>
    <w:tmpl w:val="EC58A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33863"/>
    <w:multiLevelType w:val="hybridMultilevel"/>
    <w:tmpl w:val="F8580318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C9413CC"/>
    <w:multiLevelType w:val="hybridMultilevel"/>
    <w:tmpl w:val="538CB588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54C973BF"/>
    <w:multiLevelType w:val="hybridMultilevel"/>
    <w:tmpl w:val="8110A8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232618"/>
    <w:multiLevelType w:val="hybridMultilevel"/>
    <w:tmpl w:val="50625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409C"/>
    <w:multiLevelType w:val="hybridMultilevel"/>
    <w:tmpl w:val="4C90C30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2E77D8F"/>
    <w:multiLevelType w:val="hybridMultilevel"/>
    <w:tmpl w:val="67AE1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40282"/>
    <w:multiLevelType w:val="hybridMultilevel"/>
    <w:tmpl w:val="5A7484E8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14B03"/>
    <w:multiLevelType w:val="hybridMultilevel"/>
    <w:tmpl w:val="77766C24"/>
    <w:lvl w:ilvl="0" w:tplc="C5FCE088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2487A30"/>
    <w:multiLevelType w:val="hybridMultilevel"/>
    <w:tmpl w:val="5FBE6A2E"/>
    <w:lvl w:ilvl="0" w:tplc="C0086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1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C9"/>
    <w:rsid w:val="00014D32"/>
    <w:rsid w:val="00014EFB"/>
    <w:rsid w:val="000329E4"/>
    <w:rsid w:val="00044810"/>
    <w:rsid w:val="000656A2"/>
    <w:rsid w:val="00074175"/>
    <w:rsid w:val="00086B77"/>
    <w:rsid w:val="000A0D86"/>
    <w:rsid w:val="000B2DA9"/>
    <w:rsid w:val="000C5743"/>
    <w:rsid w:val="000E3C87"/>
    <w:rsid w:val="00111787"/>
    <w:rsid w:val="001254F9"/>
    <w:rsid w:val="001362CF"/>
    <w:rsid w:val="00140DA3"/>
    <w:rsid w:val="00144AF3"/>
    <w:rsid w:val="00146D88"/>
    <w:rsid w:val="0015403D"/>
    <w:rsid w:val="00156133"/>
    <w:rsid w:val="00180057"/>
    <w:rsid w:val="001D5B6D"/>
    <w:rsid w:val="001F0137"/>
    <w:rsid w:val="00216137"/>
    <w:rsid w:val="00240E2F"/>
    <w:rsid w:val="002672B2"/>
    <w:rsid w:val="00273EC9"/>
    <w:rsid w:val="002D1DFC"/>
    <w:rsid w:val="00302052"/>
    <w:rsid w:val="00302501"/>
    <w:rsid w:val="00307371"/>
    <w:rsid w:val="0036530F"/>
    <w:rsid w:val="0037025E"/>
    <w:rsid w:val="00375C4E"/>
    <w:rsid w:val="00386482"/>
    <w:rsid w:val="0039014F"/>
    <w:rsid w:val="003923F6"/>
    <w:rsid w:val="00395863"/>
    <w:rsid w:val="003C5E95"/>
    <w:rsid w:val="003D62FA"/>
    <w:rsid w:val="00402B8B"/>
    <w:rsid w:val="00410DD3"/>
    <w:rsid w:val="0041511A"/>
    <w:rsid w:val="00461725"/>
    <w:rsid w:val="00462A8A"/>
    <w:rsid w:val="00491DCB"/>
    <w:rsid w:val="004D2143"/>
    <w:rsid w:val="004E2F69"/>
    <w:rsid w:val="004F7C61"/>
    <w:rsid w:val="00527942"/>
    <w:rsid w:val="005738CF"/>
    <w:rsid w:val="005C0A8D"/>
    <w:rsid w:val="005C41D9"/>
    <w:rsid w:val="005D5482"/>
    <w:rsid w:val="005E5AA3"/>
    <w:rsid w:val="005F31EB"/>
    <w:rsid w:val="005F710D"/>
    <w:rsid w:val="005F7FD1"/>
    <w:rsid w:val="00601D2F"/>
    <w:rsid w:val="00603A87"/>
    <w:rsid w:val="006332D1"/>
    <w:rsid w:val="00635B71"/>
    <w:rsid w:val="00642EE3"/>
    <w:rsid w:val="00650698"/>
    <w:rsid w:val="006566C2"/>
    <w:rsid w:val="0068426D"/>
    <w:rsid w:val="00686A44"/>
    <w:rsid w:val="00691B30"/>
    <w:rsid w:val="006A68CA"/>
    <w:rsid w:val="006C1D79"/>
    <w:rsid w:val="006F6157"/>
    <w:rsid w:val="006F68AC"/>
    <w:rsid w:val="00725682"/>
    <w:rsid w:val="00747443"/>
    <w:rsid w:val="00754FB9"/>
    <w:rsid w:val="0078641C"/>
    <w:rsid w:val="007A4A1B"/>
    <w:rsid w:val="007B1432"/>
    <w:rsid w:val="007B3237"/>
    <w:rsid w:val="007D6C5D"/>
    <w:rsid w:val="008314F9"/>
    <w:rsid w:val="00850479"/>
    <w:rsid w:val="00853732"/>
    <w:rsid w:val="00854032"/>
    <w:rsid w:val="00855E66"/>
    <w:rsid w:val="00856802"/>
    <w:rsid w:val="008632E2"/>
    <w:rsid w:val="00867171"/>
    <w:rsid w:val="008917C2"/>
    <w:rsid w:val="008A2671"/>
    <w:rsid w:val="008D7385"/>
    <w:rsid w:val="008E77B6"/>
    <w:rsid w:val="00904598"/>
    <w:rsid w:val="00906722"/>
    <w:rsid w:val="00932C9D"/>
    <w:rsid w:val="00953C7D"/>
    <w:rsid w:val="009569C5"/>
    <w:rsid w:val="00957EA8"/>
    <w:rsid w:val="00972400"/>
    <w:rsid w:val="00991C67"/>
    <w:rsid w:val="0099284E"/>
    <w:rsid w:val="009928A6"/>
    <w:rsid w:val="009D3016"/>
    <w:rsid w:val="009E4876"/>
    <w:rsid w:val="009F4C29"/>
    <w:rsid w:val="00A00E87"/>
    <w:rsid w:val="00A30311"/>
    <w:rsid w:val="00A53A83"/>
    <w:rsid w:val="00A72BF9"/>
    <w:rsid w:val="00A86D2C"/>
    <w:rsid w:val="00A90CFE"/>
    <w:rsid w:val="00AA307C"/>
    <w:rsid w:val="00AB32FB"/>
    <w:rsid w:val="00AC4DE6"/>
    <w:rsid w:val="00AC6E25"/>
    <w:rsid w:val="00AD642C"/>
    <w:rsid w:val="00AF1F0C"/>
    <w:rsid w:val="00B17375"/>
    <w:rsid w:val="00B564E4"/>
    <w:rsid w:val="00BC5F6A"/>
    <w:rsid w:val="00BE0965"/>
    <w:rsid w:val="00BE7104"/>
    <w:rsid w:val="00C177C6"/>
    <w:rsid w:val="00C22E7F"/>
    <w:rsid w:val="00C574E8"/>
    <w:rsid w:val="00C86C76"/>
    <w:rsid w:val="00C93E5F"/>
    <w:rsid w:val="00CA667B"/>
    <w:rsid w:val="00D05ED3"/>
    <w:rsid w:val="00D07F3D"/>
    <w:rsid w:val="00D20FC7"/>
    <w:rsid w:val="00D473D4"/>
    <w:rsid w:val="00D853AA"/>
    <w:rsid w:val="00DA342E"/>
    <w:rsid w:val="00DD3022"/>
    <w:rsid w:val="00E0566E"/>
    <w:rsid w:val="00E24CA6"/>
    <w:rsid w:val="00E31D8A"/>
    <w:rsid w:val="00E358DF"/>
    <w:rsid w:val="00E51D16"/>
    <w:rsid w:val="00E56225"/>
    <w:rsid w:val="00E56999"/>
    <w:rsid w:val="00E56F73"/>
    <w:rsid w:val="00E6502A"/>
    <w:rsid w:val="00E902C8"/>
    <w:rsid w:val="00EA3469"/>
    <w:rsid w:val="00EE7AE1"/>
    <w:rsid w:val="00EF0A35"/>
    <w:rsid w:val="00F025D0"/>
    <w:rsid w:val="00F13065"/>
    <w:rsid w:val="00F20AB0"/>
    <w:rsid w:val="00F27DDA"/>
    <w:rsid w:val="00F31814"/>
    <w:rsid w:val="00F42F42"/>
    <w:rsid w:val="00F77FE9"/>
    <w:rsid w:val="00F9126E"/>
    <w:rsid w:val="00FA121A"/>
    <w:rsid w:val="00FC2075"/>
    <w:rsid w:val="00FD2787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C9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73E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rsid w:val="00273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3EC9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3653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6530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65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53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917C2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11178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864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91995/apprendre-joua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2259</Characters>
  <Application>Microsoft Office Word</Application>
  <DocSecurity>0</DocSecurity>
  <Lines>18</Lines>
  <Paragraphs>5</Paragraphs>
  <ScaleCrop>false</ScaleCrop>
  <Company>Education Nationale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Dabat Aracil</dc:creator>
  <cp:lastModifiedBy>Utilisateur</cp:lastModifiedBy>
  <cp:revision>2</cp:revision>
  <dcterms:created xsi:type="dcterms:W3CDTF">2016-02-24T14:20:00Z</dcterms:created>
  <dcterms:modified xsi:type="dcterms:W3CDTF">2016-02-24T14:20:00Z</dcterms:modified>
</cp:coreProperties>
</file>