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85"/>
        <w:gridCol w:w="4536"/>
        <w:gridCol w:w="2985"/>
      </w:tblGrid>
      <w:tr w:rsidR="0030468C" w:rsidTr="0030468C">
        <w:tc>
          <w:tcPr>
            <w:tcW w:w="3085" w:type="dxa"/>
          </w:tcPr>
          <w:p w:rsidR="0030468C" w:rsidRDefault="0030468C" w:rsidP="0030468C">
            <w:pPr>
              <w:jc w:val="center"/>
            </w:pPr>
            <w:r>
              <w:rPr>
                <w:noProof/>
                <w:lang w:eastAsia="fr-FR"/>
              </w:rPr>
              <w:drawing>
                <wp:inline distT="0" distB="0" distL="0" distR="0">
                  <wp:extent cx="1238250" cy="97342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38250" cy="973422"/>
                          </a:xfrm>
                          <a:prstGeom prst="rect">
                            <a:avLst/>
                          </a:prstGeom>
                          <a:noFill/>
                          <a:ln w="9525">
                            <a:noFill/>
                            <a:miter lim="800000"/>
                            <a:headEnd/>
                            <a:tailEnd/>
                          </a:ln>
                        </pic:spPr>
                      </pic:pic>
                    </a:graphicData>
                  </a:graphic>
                </wp:inline>
              </w:drawing>
            </w:r>
          </w:p>
        </w:tc>
        <w:tc>
          <w:tcPr>
            <w:tcW w:w="4536" w:type="dxa"/>
          </w:tcPr>
          <w:p w:rsidR="0030468C" w:rsidRDefault="0030468C" w:rsidP="0030468C">
            <w:pPr>
              <w:jc w:val="center"/>
              <w:rPr>
                <w:b/>
                <w:sz w:val="28"/>
                <w:szCs w:val="32"/>
              </w:rPr>
            </w:pPr>
            <w:r>
              <w:rPr>
                <w:b/>
                <w:sz w:val="28"/>
                <w:szCs w:val="32"/>
              </w:rPr>
              <w:t>COMPTE-RENDU</w:t>
            </w:r>
          </w:p>
          <w:p w:rsidR="0030468C" w:rsidRDefault="0030468C" w:rsidP="0030468C">
            <w:pPr>
              <w:jc w:val="center"/>
              <w:rPr>
                <w:b/>
                <w:sz w:val="28"/>
                <w:szCs w:val="32"/>
              </w:rPr>
            </w:pPr>
            <w:r w:rsidRPr="005441DD">
              <w:rPr>
                <w:b/>
                <w:sz w:val="28"/>
                <w:szCs w:val="32"/>
              </w:rPr>
              <w:t>Rôle et posture du binôme enseignant /ASEM dans la classe</w:t>
            </w:r>
          </w:p>
          <w:p w:rsidR="0030468C" w:rsidRPr="00F218F2" w:rsidRDefault="0030468C" w:rsidP="0030468C">
            <w:pPr>
              <w:rPr>
                <w:b/>
              </w:rPr>
            </w:pPr>
          </w:p>
        </w:tc>
        <w:tc>
          <w:tcPr>
            <w:tcW w:w="2985" w:type="dxa"/>
            <w:vMerge w:val="restart"/>
          </w:tcPr>
          <w:p w:rsidR="0030468C" w:rsidRDefault="0030468C" w:rsidP="0030468C"/>
          <w:p w:rsidR="0030468C" w:rsidRDefault="0030468C" w:rsidP="0030468C"/>
          <w:p w:rsidR="0030468C" w:rsidRDefault="0030468C" w:rsidP="0030468C"/>
          <w:p w:rsidR="0030468C" w:rsidRPr="0030468C" w:rsidRDefault="0030468C" w:rsidP="0030468C">
            <w:pPr>
              <w:jc w:val="center"/>
              <w:rPr>
                <w:b/>
                <w:sz w:val="28"/>
                <w:szCs w:val="28"/>
              </w:rPr>
            </w:pPr>
            <w:r w:rsidRPr="0030468C">
              <w:rPr>
                <w:b/>
                <w:sz w:val="28"/>
                <w:szCs w:val="28"/>
              </w:rPr>
              <w:t>29/09/2015</w:t>
            </w:r>
          </w:p>
        </w:tc>
      </w:tr>
      <w:tr w:rsidR="0030468C" w:rsidTr="0030468C">
        <w:tc>
          <w:tcPr>
            <w:tcW w:w="3085" w:type="dxa"/>
          </w:tcPr>
          <w:p w:rsidR="0030468C" w:rsidRDefault="0030468C" w:rsidP="0030468C">
            <w:r>
              <w:t>Inspection des Ecoles Françaises d'Afrique de l'Ouest</w:t>
            </w:r>
          </w:p>
        </w:tc>
        <w:tc>
          <w:tcPr>
            <w:tcW w:w="4536" w:type="dxa"/>
          </w:tcPr>
          <w:p w:rsidR="0030468C" w:rsidRDefault="0030468C" w:rsidP="0030468C">
            <w:pPr>
              <w:jc w:val="center"/>
              <w:rPr>
                <w:sz w:val="24"/>
                <w:szCs w:val="32"/>
              </w:rPr>
            </w:pPr>
            <w:r>
              <w:rPr>
                <w:sz w:val="24"/>
                <w:szCs w:val="32"/>
              </w:rPr>
              <w:t>DAKAR</w:t>
            </w:r>
          </w:p>
          <w:p w:rsidR="0030468C" w:rsidRPr="00592324" w:rsidRDefault="0030468C" w:rsidP="0030468C">
            <w:pPr>
              <w:jc w:val="center"/>
              <w:rPr>
                <w:sz w:val="32"/>
                <w:szCs w:val="32"/>
              </w:rPr>
            </w:pPr>
            <w:r>
              <w:rPr>
                <w:sz w:val="24"/>
                <w:szCs w:val="32"/>
              </w:rPr>
              <w:t>ABIDJAN</w:t>
            </w:r>
          </w:p>
        </w:tc>
        <w:tc>
          <w:tcPr>
            <w:tcW w:w="2985" w:type="dxa"/>
            <w:vMerge/>
          </w:tcPr>
          <w:p w:rsidR="0030468C" w:rsidRDefault="0030468C" w:rsidP="0030468C"/>
        </w:tc>
      </w:tr>
    </w:tbl>
    <w:p w:rsidR="0030468C" w:rsidRDefault="0030468C" w:rsidP="0030468C"/>
    <w:tbl>
      <w:tblPr>
        <w:tblStyle w:val="Grilledutableau"/>
        <w:tblW w:w="10733" w:type="dxa"/>
        <w:tblLook w:val="04A0"/>
      </w:tblPr>
      <w:tblGrid>
        <w:gridCol w:w="10733"/>
      </w:tblGrid>
      <w:tr w:rsidR="0030468C" w:rsidTr="0030468C">
        <w:trPr>
          <w:trHeight w:val="204"/>
        </w:trPr>
        <w:tc>
          <w:tcPr>
            <w:tcW w:w="10733" w:type="dxa"/>
          </w:tcPr>
          <w:p w:rsidR="0030468C" w:rsidRPr="00AF051E" w:rsidRDefault="0030468C" w:rsidP="0030468C">
            <w:pPr>
              <w:rPr>
                <w:b/>
              </w:rPr>
            </w:pPr>
            <w:r w:rsidRPr="00AF051E">
              <w:rPr>
                <w:b/>
              </w:rPr>
              <w:t xml:space="preserve">Compte-rendu : </w:t>
            </w:r>
            <w:r>
              <w:rPr>
                <w:b/>
              </w:rPr>
              <w:t>JOUR 1</w:t>
            </w:r>
          </w:p>
          <w:p w:rsidR="0030468C" w:rsidRDefault="0030468C" w:rsidP="0030468C">
            <w:pPr>
              <w:pStyle w:val="Paragraphedeliste"/>
              <w:numPr>
                <w:ilvl w:val="0"/>
                <w:numId w:val="4"/>
              </w:numPr>
            </w:pPr>
            <w:r>
              <w:t>Le blason a permis de se présenter individuellement en mentionnant les points positifs, les blocages, la devise pour le stage, les objectifs du stage, les monstres à vaincre …..</w:t>
            </w:r>
          </w:p>
          <w:p w:rsidR="0030468C" w:rsidRPr="0030468C" w:rsidRDefault="000E6564" w:rsidP="0030468C">
            <w:pPr>
              <w:spacing w:after="0" w:line="240" w:lineRule="auto"/>
            </w:pPr>
            <w:r>
              <w:t>(voir tableau en annexe)</w:t>
            </w:r>
          </w:p>
          <w:p w:rsidR="0030468C" w:rsidRDefault="0030468C" w:rsidP="0030468C">
            <w:pPr>
              <w:ind w:left="360"/>
            </w:pPr>
          </w:p>
        </w:tc>
      </w:tr>
      <w:tr w:rsidR="0030468C" w:rsidTr="0030468C">
        <w:trPr>
          <w:trHeight w:val="204"/>
        </w:trPr>
        <w:tc>
          <w:tcPr>
            <w:tcW w:w="10733" w:type="dxa"/>
          </w:tcPr>
          <w:p w:rsidR="0030468C" w:rsidRDefault="0030468C" w:rsidP="0006040A">
            <w:pPr>
              <w:pStyle w:val="Paragraphedeliste"/>
              <w:numPr>
                <w:ilvl w:val="0"/>
                <w:numId w:val="4"/>
              </w:numPr>
            </w:pPr>
            <w:r>
              <w:t>Les fonctions de l’ASEM :</w:t>
            </w:r>
          </w:p>
          <w:p w:rsidR="0030468C" w:rsidRDefault="0006040A" w:rsidP="0030468C">
            <w:r>
              <w:t>Une fonction= une bande de couleur</w:t>
            </w:r>
          </w:p>
          <w:p w:rsidR="0006040A" w:rsidRDefault="0006040A" w:rsidP="0030468C">
            <w:r>
              <w:t>Le nombre de bandes de couleur a montré que la présence des ASEM étaient indispensables et qu’elles faisaient de nombreuses tâches au quotidien.</w:t>
            </w:r>
          </w:p>
          <w:p w:rsidR="0006040A" w:rsidRDefault="0006040A" w:rsidP="0030468C">
            <w:r>
              <w:t>A partir de ces bandes, un classement a été fait pour mettre en avant les trois fonctions de l’ASEM :</w:t>
            </w:r>
          </w:p>
          <w:p w:rsidR="0006040A" w:rsidRDefault="0006040A" w:rsidP="0006040A">
            <w:pPr>
              <w:pStyle w:val="Paragraphedeliste"/>
              <w:numPr>
                <w:ilvl w:val="0"/>
                <w:numId w:val="4"/>
              </w:numPr>
            </w:pPr>
            <w:r>
              <w:t>Une fonction éducative</w:t>
            </w:r>
          </w:p>
          <w:p w:rsidR="0006040A" w:rsidRDefault="0006040A" w:rsidP="0006040A">
            <w:pPr>
              <w:pStyle w:val="Paragraphedeliste"/>
              <w:numPr>
                <w:ilvl w:val="0"/>
                <w:numId w:val="4"/>
              </w:numPr>
            </w:pPr>
            <w:r>
              <w:t>Une fonction d’entretien et de matériel</w:t>
            </w:r>
          </w:p>
          <w:p w:rsidR="0006040A" w:rsidRDefault="0006040A" w:rsidP="0006040A">
            <w:pPr>
              <w:pStyle w:val="Paragraphedeliste"/>
              <w:numPr>
                <w:ilvl w:val="0"/>
                <w:numId w:val="4"/>
              </w:numPr>
            </w:pPr>
            <w:r>
              <w:t>Une fonction d’aide pédagogique.</w:t>
            </w:r>
          </w:p>
          <w:p w:rsidR="0006040A" w:rsidRDefault="0006040A" w:rsidP="0006040A">
            <w:r>
              <w:t>Le document récapitulatif est disponible sur le site : les 3 fonctions de l’ASEM.</w:t>
            </w:r>
          </w:p>
          <w:p w:rsidR="0006040A" w:rsidRDefault="0006040A" w:rsidP="0030468C"/>
        </w:tc>
      </w:tr>
      <w:tr w:rsidR="0030468C" w:rsidTr="0030468C">
        <w:trPr>
          <w:trHeight w:val="204"/>
        </w:trPr>
        <w:tc>
          <w:tcPr>
            <w:tcW w:w="10733" w:type="dxa"/>
          </w:tcPr>
          <w:p w:rsidR="0030468C" w:rsidRDefault="0006040A" w:rsidP="0006040A">
            <w:pPr>
              <w:pStyle w:val="Paragraphedeliste"/>
              <w:numPr>
                <w:ilvl w:val="0"/>
                <w:numId w:val="6"/>
              </w:numPr>
            </w:pPr>
            <w:r>
              <w:t>Définir clairement la place de chacun et le rôle</w:t>
            </w:r>
            <w:r w:rsidR="000E6564">
              <w:t xml:space="preserve"> (voir tableau de synthèse)</w:t>
            </w:r>
          </w:p>
          <w:p w:rsidR="0006040A" w:rsidRDefault="0006040A" w:rsidP="0006040A">
            <w:r>
              <w:t>Par binôme, les emplois du temps de chaque classe ont été analysés et les groupes ont conclu qu’il ne prévoyait ni la place ni le rôle de l’ASEM aux différents moments de la journée. Le groupe a conclu qu’il était important de mieux communiquer et d’élaborer un outil commun. C’est à faire pour la prochaine fois !</w:t>
            </w:r>
            <w:bookmarkStart w:id="0" w:name="_GoBack"/>
            <w:bookmarkEnd w:id="0"/>
          </w:p>
        </w:tc>
      </w:tr>
    </w:tbl>
    <w:p w:rsidR="00852F63" w:rsidRDefault="00852F63">
      <w:pPr>
        <w:sectPr w:rsidR="00852F63" w:rsidSect="0030468C">
          <w:pgSz w:w="11906" w:h="16838"/>
          <w:pgMar w:top="720" w:right="720" w:bottom="720" w:left="720" w:header="708" w:footer="708" w:gutter="0"/>
          <w:cols w:space="708"/>
          <w:docGrid w:linePitch="360"/>
        </w:sectPr>
      </w:pPr>
    </w:p>
    <w:p w:rsidR="00852F63" w:rsidRDefault="00852F63" w:rsidP="00852F63">
      <w:pPr>
        <w:rPr>
          <w:b/>
          <w:sz w:val="32"/>
          <w:u w:val="single"/>
        </w:rPr>
      </w:pPr>
      <w:r>
        <w:lastRenderedPageBreak/>
        <w:t>Stage ASEM</w:t>
      </w:r>
      <w:r>
        <w:tab/>
      </w:r>
      <w:r>
        <w:tab/>
      </w:r>
      <w:r>
        <w:tab/>
      </w:r>
      <w:r>
        <w:tab/>
      </w:r>
      <w:r>
        <w:tab/>
      </w:r>
      <w:r>
        <w:tab/>
      </w:r>
      <w:r>
        <w:tab/>
      </w:r>
      <w:r>
        <w:tab/>
      </w:r>
      <w:r w:rsidRPr="004715C9">
        <w:rPr>
          <w:b/>
          <w:sz w:val="32"/>
          <w:u w:val="single"/>
        </w:rPr>
        <w:t>Synthèse des blasons</w:t>
      </w:r>
    </w:p>
    <w:tbl>
      <w:tblPr>
        <w:tblStyle w:val="Grilledutableau"/>
        <w:tblW w:w="0" w:type="auto"/>
        <w:tblLook w:val="04A0"/>
      </w:tblPr>
      <w:tblGrid>
        <w:gridCol w:w="3235"/>
        <w:gridCol w:w="3122"/>
        <w:gridCol w:w="2951"/>
        <w:gridCol w:w="3050"/>
        <w:gridCol w:w="3050"/>
      </w:tblGrid>
      <w:tr w:rsidR="00852F63" w:rsidRPr="00852F63" w:rsidTr="002A779A">
        <w:trPr>
          <w:trHeight w:val="281"/>
        </w:trPr>
        <w:tc>
          <w:tcPr>
            <w:tcW w:w="3235"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Les devises </w:t>
            </w:r>
          </w:p>
        </w:tc>
        <w:tc>
          <w:tcPr>
            <w:tcW w:w="3122"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Les monstres à vaincre </w:t>
            </w:r>
          </w:p>
        </w:tc>
        <w:tc>
          <w:tcPr>
            <w:tcW w:w="2951"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Les blocages</w:t>
            </w:r>
          </w:p>
        </w:tc>
        <w:tc>
          <w:tcPr>
            <w:tcW w:w="3050"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Les points positifs</w:t>
            </w:r>
          </w:p>
        </w:tc>
        <w:tc>
          <w:tcPr>
            <w:tcW w:w="3050"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Objectifs</w:t>
            </w:r>
          </w:p>
        </w:tc>
      </w:tr>
      <w:tr w:rsidR="00852F63" w:rsidRPr="00852F63" w:rsidTr="002A779A">
        <w:trPr>
          <w:trHeight w:val="8452"/>
        </w:trPr>
        <w:tc>
          <w:tcPr>
            <w:tcW w:w="3235"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Cohésion de l’équipe au service  de ET pour le bien être de l’enfant</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 ‘union avec la maîtresse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Repartir avec la bonne attitude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Etre plus efficace, valorisée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 xml:space="preserve">Définir les rôles </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Communication, travail en équipe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Savoir, apprendre, démultiplier</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 xml:space="preserve">Les deux font la paire </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l’alliance fait la force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Amour de l’école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Communiquer sans crainte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Efficacité dans le travail</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Une formation pour mieux collaborer</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Comprendre son rôle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ASEM RENOUVELEE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TOUS ENSEMBLE</w:t>
            </w:r>
          </w:p>
          <w:p w:rsidR="00852F63" w:rsidRPr="00852F63" w:rsidRDefault="00852F63" w:rsidP="00852F63">
            <w:pPr>
              <w:pStyle w:val="Sansinterligne"/>
              <w:rPr>
                <w:rFonts w:asciiTheme="majorHAnsi" w:hAnsiTheme="majorHAnsi"/>
                <w:sz w:val="20"/>
                <w:szCs w:val="20"/>
              </w:rPr>
            </w:pP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Apprendre pour mieux servir</w:t>
            </w:r>
            <w:r w:rsidRPr="00852F63">
              <w:rPr>
                <w:rFonts w:asciiTheme="majorHAnsi" w:hAnsiTheme="majorHAnsi"/>
                <w:i/>
                <w:sz w:val="20"/>
                <w:szCs w:val="20"/>
              </w:rPr>
              <w:br/>
              <w:t>Connaître mon rôle et mes limites</w:t>
            </w:r>
            <w:r w:rsidRPr="00852F63">
              <w:rPr>
                <w:rFonts w:asciiTheme="majorHAnsi" w:hAnsiTheme="majorHAnsi"/>
                <w:i/>
                <w:sz w:val="20"/>
                <w:szCs w:val="20"/>
              </w:rPr>
              <w:br/>
              <w:t>Compréhension</w:t>
            </w:r>
            <w:r w:rsidRPr="00852F63">
              <w:rPr>
                <w:rFonts w:asciiTheme="majorHAnsi" w:hAnsiTheme="majorHAnsi"/>
                <w:i/>
                <w:sz w:val="20"/>
                <w:szCs w:val="20"/>
              </w:rPr>
              <w:br/>
              <w:t>Travailler en bonne harmonie</w:t>
            </w:r>
            <w:r w:rsidRPr="00852F63">
              <w:rPr>
                <w:rFonts w:asciiTheme="majorHAnsi" w:hAnsiTheme="majorHAnsi"/>
                <w:i/>
                <w:sz w:val="20"/>
                <w:szCs w:val="20"/>
              </w:rPr>
              <w:br/>
              <w:t>Réussir la classe à deux</w:t>
            </w:r>
            <w:r w:rsidRPr="00852F63">
              <w:rPr>
                <w:rFonts w:asciiTheme="majorHAnsi" w:hAnsiTheme="majorHAnsi"/>
                <w:i/>
                <w:sz w:val="20"/>
                <w:szCs w:val="20"/>
              </w:rPr>
              <w:br/>
              <w:t>Trouver l'harmonie</w:t>
            </w:r>
            <w:r w:rsidRPr="00852F63">
              <w:rPr>
                <w:rFonts w:asciiTheme="majorHAnsi" w:hAnsiTheme="majorHAnsi"/>
                <w:i/>
                <w:sz w:val="20"/>
                <w:szCs w:val="20"/>
              </w:rPr>
              <w:br/>
              <w:t>Quel est le rôle de l'ASEM ? Que puis-je lui imposer ?</w:t>
            </w:r>
            <w:r w:rsidRPr="00852F63">
              <w:rPr>
                <w:rFonts w:asciiTheme="majorHAnsi" w:hAnsiTheme="majorHAnsi"/>
                <w:i/>
                <w:sz w:val="20"/>
                <w:szCs w:val="20"/>
              </w:rPr>
              <w:br/>
              <w:t>Améliorer la relation</w:t>
            </w:r>
            <w:r w:rsidRPr="00852F63">
              <w:rPr>
                <w:rFonts w:asciiTheme="majorHAnsi" w:hAnsiTheme="majorHAnsi"/>
                <w:i/>
                <w:sz w:val="20"/>
                <w:szCs w:val="20"/>
              </w:rPr>
              <w:br/>
              <w:t>Epanouissement de chacune</w:t>
            </w:r>
            <w:r w:rsidRPr="00852F63">
              <w:rPr>
                <w:rFonts w:asciiTheme="majorHAnsi" w:hAnsiTheme="majorHAnsi"/>
                <w:i/>
                <w:sz w:val="20"/>
                <w:szCs w:val="20"/>
              </w:rPr>
              <w:br/>
              <w:t>Mieux tenir ma classe</w:t>
            </w:r>
          </w:p>
          <w:p w:rsidR="00852F63" w:rsidRPr="00852F63" w:rsidRDefault="00852F63" w:rsidP="00852F63">
            <w:pPr>
              <w:pStyle w:val="Sansinterligne"/>
              <w:rPr>
                <w:rFonts w:asciiTheme="majorHAnsi" w:hAnsiTheme="majorHAnsi"/>
                <w:sz w:val="20"/>
                <w:szCs w:val="20"/>
              </w:rPr>
            </w:pPr>
          </w:p>
        </w:tc>
        <w:tc>
          <w:tcPr>
            <w:tcW w:w="3122" w:type="dxa"/>
          </w:tcPr>
          <w:p w:rsidR="00852F63" w:rsidRPr="00852F63" w:rsidRDefault="00852F63" w:rsidP="00852F63">
            <w:pPr>
              <w:pStyle w:val="Sansinterligne"/>
              <w:rPr>
                <w:rFonts w:asciiTheme="majorHAnsi" w:hAnsiTheme="majorHAnsi"/>
                <w:sz w:val="20"/>
                <w:szCs w:val="20"/>
              </w:rPr>
            </w:pP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Déléguer une partie du travail à l’</w:t>
            </w:r>
            <w:proofErr w:type="spellStart"/>
            <w:r w:rsidRPr="00852F63">
              <w:rPr>
                <w:rFonts w:asciiTheme="majorHAnsi" w:hAnsiTheme="majorHAnsi"/>
                <w:sz w:val="20"/>
                <w:szCs w:val="20"/>
              </w:rPr>
              <w:t>asem</w:t>
            </w:r>
            <w:proofErr w:type="spellEnd"/>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Canaliser les enfants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Peur de mal faire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Manque d’organisation, de communication</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Parents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Suivre les consignes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Comment aider la maîtresse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Dévalorisation de l’</w:t>
            </w:r>
            <w:proofErr w:type="spellStart"/>
            <w:r w:rsidRPr="00852F63">
              <w:rPr>
                <w:rFonts w:asciiTheme="majorHAnsi" w:hAnsiTheme="majorHAnsi"/>
                <w:sz w:val="20"/>
                <w:szCs w:val="20"/>
              </w:rPr>
              <w:t>asem</w:t>
            </w:r>
            <w:proofErr w:type="spellEnd"/>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Le bruit et les pleurs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La presse/L’ignorance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La dureté</w:t>
            </w:r>
          </w:p>
          <w:p w:rsidR="00852F63" w:rsidRPr="00852F63" w:rsidRDefault="00852F63" w:rsidP="00852F63">
            <w:pPr>
              <w:pStyle w:val="Sansinterligne"/>
              <w:rPr>
                <w:rFonts w:asciiTheme="majorHAnsi" w:hAnsiTheme="majorHAnsi"/>
                <w:sz w:val="20"/>
                <w:szCs w:val="20"/>
              </w:rPr>
            </w:pP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Ne pas baisser les bras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communication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Ne pas écouter l'autre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Organiser le travail de l'ASEM</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Timidité</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Relation ASEM/Enseignant</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Différences entre les programmes français et sénégalais : approche éducative, rôle de l'ASEM</w:t>
            </w:r>
          </w:p>
          <w:p w:rsidR="00852F63" w:rsidRPr="00852F63" w:rsidRDefault="00852F63" w:rsidP="00852F63">
            <w:pPr>
              <w:pStyle w:val="Sansinterligne"/>
              <w:rPr>
                <w:rFonts w:asciiTheme="majorHAnsi" w:hAnsiTheme="majorHAnsi"/>
                <w:i/>
                <w:sz w:val="20"/>
                <w:szCs w:val="20"/>
              </w:rPr>
            </w:pPr>
          </w:p>
          <w:p w:rsidR="00852F63" w:rsidRPr="00852F63" w:rsidRDefault="00852F63" w:rsidP="00852F63">
            <w:pPr>
              <w:pStyle w:val="Sansinterligne"/>
              <w:rPr>
                <w:rFonts w:asciiTheme="majorHAnsi" w:hAnsiTheme="majorHAnsi"/>
                <w:sz w:val="20"/>
                <w:szCs w:val="20"/>
              </w:rPr>
            </w:pPr>
          </w:p>
        </w:tc>
        <w:tc>
          <w:tcPr>
            <w:tcW w:w="2951" w:type="dxa"/>
          </w:tcPr>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repères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confiance en soi, dans l'autre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formation de l'ASEM</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Le rôle de l'ASEM à définir</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rigueur</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Insouciance envers les enfants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communication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Travail non préparé</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Jugement</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Demande de faire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Imposer</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Confusion des rôles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ASEM inactive, en retard, démotivée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Manque de moyens matériels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Non francophone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Instabilité</w:t>
            </w:r>
          </w:p>
          <w:p w:rsidR="00852F63" w:rsidRPr="00852F63" w:rsidRDefault="00852F63" w:rsidP="00852F63">
            <w:pPr>
              <w:pStyle w:val="Sansinterligne"/>
              <w:rPr>
                <w:rFonts w:asciiTheme="majorHAnsi" w:hAnsiTheme="majorHAnsi"/>
                <w:sz w:val="20"/>
                <w:szCs w:val="20"/>
              </w:rPr>
            </w:pPr>
          </w:p>
        </w:tc>
        <w:tc>
          <w:tcPr>
            <w:tcW w:w="3050" w:type="dxa"/>
          </w:tcPr>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Amour joie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Enfants captivés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Enfants qui aiment venir à l’école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Canaliser les enfants, les connaître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Apprendre les règles de vie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Rôle exact de l’</w:t>
            </w:r>
            <w:proofErr w:type="spellStart"/>
            <w:r w:rsidRPr="00852F63">
              <w:rPr>
                <w:rFonts w:asciiTheme="majorHAnsi" w:hAnsiTheme="majorHAnsi"/>
                <w:sz w:val="20"/>
                <w:szCs w:val="20"/>
              </w:rPr>
              <w:t>asem</w:t>
            </w:r>
            <w:proofErr w:type="spellEnd"/>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Faire une activité avec les enfants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 xml:space="preserve">Ponctualité, assiduité ,collaboration </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Rangement, ateliers, communication facile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Pouvoir  faire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Autonomie des enfants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Présence de l’</w:t>
            </w:r>
            <w:proofErr w:type="spellStart"/>
            <w:r w:rsidRPr="00852F63">
              <w:rPr>
                <w:rFonts w:asciiTheme="majorHAnsi" w:hAnsiTheme="majorHAnsi"/>
                <w:sz w:val="20"/>
                <w:szCs w:val="20"/>
              </w:rPr>
              <w:t>asem</w:t>
            </w:r>
            <w:proofErr w:type="spellEnd"/>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Gestion, atmosphère dans la classe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Relation avec les enfants</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Faire comprendre aux enfants l’activité</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Connaissance du fonctionnement de la classe</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Langage, propreté</w:t>
            </w:r>
          </w:p>
          <w:p w:rsidR="00852F63" w:rsidRPr="00852F63" w:rsidRDefault="00852F63" w:rsidP="00852F63">
            <w:pPr>
              <w:pStyle w:val="Sansinterligne"/>
              <w:rPr>
                <w:rFonts w:asciiTheme="majorHAnsi" w:hAnsiTheme="majorHAnsi"/>
                <w:sz w:val="20"/>
                <w:szCs w:val="20"/>
              </w:rPr>
            </w:pPr>
            <w:r w:rsidRPr="00852F63">
              <w:rPr>
                <w:rFonts w:asciiTheme="majorHAnsi" w:hAnsiTheme="majorHAnsi"/>
                <w:sz w:val="20"/>
                <w:szCs w:val="20"/>
              </w:rPr>
              <w:t>Faire de son mieux.</w:t>
            </w:r>
          </w:p>
          <w:p w:rsidR="00852F63" w:rsidRPr="00852F63" w:rsidRDefault="00852F63" w:rsidP="00852F63">
            <w:pPr>
              <w:pStyle w:val="Sansinterligne"/>
              <w:rPr>
                <w:rFonts w:asciiTheme="majorHAnsi" w:hAnsiTheme="majorHAnsi"/>
                <w:sz w:val="20"/>
                <w:szCs w:val="20"/>
              </w:rPr>
            </w:pP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Entente et communication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Partage d'expériences, des tâches, des méthodes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Dialogue, échange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Cohésion, complicité, aide, soutien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ASEM patiente, volontaire, accueillante, souriante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Respect des élèves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Hygiène, sécurité</w:t>
            </w:r>
          </w:p>
          <w:p w:rsidR="00852F63" w:rsidRPr="00852F63" w:rsidRDefault="00852F63" w:rsidP="00852F63">
            <w:pPr>
              <w:pStyle w:val="Sansinterligne"/>
              <w:rPr>
                <w:rFonts w:asciiTheme="majorHAnsi" w:hAnsiTheme="majorHAnsi"/>
                <w:i/>
                <w:sz w:val="20"/>
                <w:szCs w:val="20"/>
              </w:rPr>
            </w:pPr>
          </w:p>
        </w:tc>
        <w:tc>
          <w:tcPr>
            <w:tcW w:w="3050" w:type="dxa"/>
          </w:tcPr>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Approfondir ses connaissances</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Formation continue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Développer le sens de l'écoute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Favoriser la socialisation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Favoriser la communication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Rétablir de bonnes relations ASEM/Enseignante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Etre formé pour progresser</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Plus de dialogue, partage, communication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Définir el rôle exact de l'ASEM</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Trouver un équilibre, une complémentarité</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Etre dans le juste par rapport à al demande</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Améliorer la relation</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Plus de tâches pour l'ASEM</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Acquérir des connaissances sur le développement de l'enfant</w:t>
            </w:r>
          </w:p>
          <w:p w:rsidR="00852F63" w:rsidRPr="00852F63" w:rsidRDefault="00852F63" w:rsidP="00852F63">
            <w:pPr>
              <w:pStyle w:val="Sansinterligne"/>
              <w:rPr>
                <w:rFonts w:asciiTheme="majorHAnsi" w:hAnsiTheme="majorHAnsi"/>
                <w:i/>
                <w:sz w:val="20"/>
                <w:szCs w:val="20"/>
              </w:rPr>
            </w:pPr>
            <w:r w:rsidRPr="00852F63">
              <w:rPr>
                <w:rFonts w:asciiTheme="majorHAnsi" w:hAnsiTheme="majorHAnsi"/>
                <w:i/>
                <w:sz w:val="20"/>
                <w:szCs w:val="20"/>
              </w:rPr>
              <w:t>Aide sur la prise en charge des enfants en difficulté</w:t>
            </w:r>
          </w:p>
        </w:tc>
      </w:tr>
    </w:tbl>
    <w:p w:rsidR="00852F63" w:rsidRDefault="00852F63" w:rsidP="002A779A">
      <w:pPr>
        <w:rPr>
          <w:b/>
          <w:sz w:val="24"/>
          <w:u w:val="single"/>
        </w:rPr>
      </w:pPr>
    </w:p>
    <w:p w:rsidR="00852F63" w:rsidRDefault="00852F63">
      <w:pPr>
        <w:sectPr w:rsidR="00852F63" w:rsidSect="00852F63">
          <w:pgSz w:w="16838" w:h="11906" w:orient="landscape"/>
          <w:pgMar w:top="720" w:right="720" w:bottom="720" w:left="720" w:header="708" w:footer="708" w:gutter="0"/>
          <w:cols w:space="708"/>
          <w:docGrid w:linePitch="360"/>
        </w:sectPr>
      </w:pPr>
    </w:p>
    <w:p w:rsidR="00852F63" w:rsidRPr="00852F63" w:rsidRDefault="00852F63" w:rsidP="00852F63">
      <w:pPr>
        <w:rPr>
          <w:rFonts w:asciiTheme="majorHAnsi" w:hAnsiTheme="majorHAnsi"/>
          <w:b/>
          <w:sz w:val="28"/>
        </w:rPr>
      </w:pPr>
      <w:r w:rsidRPr="00852F63">
        <w:rPr>
          <w:rFonts w:asciiTheme="majorHAnsi" w:hAnsiTheme="majorHAnsi"/>
          <w:b/>
          <w:sz w:val="28"/>
        </w:rPr>
        <w:t>Les différentes propositions  des stagiaires peuvent être regroupées autour de 4 volets :</w:t>
      </w:r>
    </w:p>
    <w:p w:rsidR="00852F63" w:rsidRPr="00852F63" w:rsidRDefault="00852F63" w:rsidP="00852F63">
      <w:pPr>
        <w:rPr>
          <w:rFonts w:asciiTheme="majorHAnsi" w:hAnsiTheme="majorHAnsi"/>
          <w:sz w:val="24"/>
          <w:u w:val="single"/>
        </w:rPr>
      </w:pPr>
      <w:r w:rsidRPr="00852F63">
        <w:rPr>
          <w:rFonts w:asciiTheme="majorHAnsi" w:hAnsiTheme="majorHAnsi"/>
          <w:sz w:val="24"/>
          <w:u w:val="single"/>
        </w:rPr>
        <w:t>1/ Volet professionnel :</w:t>
      </w:r>
      <w:r w:rsidRPr="00852F63">
        <w:rPr>
          <w:rFonts w:asciiTheme="majorHAnsi" w:hAnsiTheme="majorHAnsi"/>
          <w:sz w:val="24"/>
        </w:rPr>
        <w:t xml:space="preserve"> concerne les exigences du métier (d'enseignant et d'ASEM)</w:t>
      </w:r>
    </w:p>
    <w:p w:rsidR="00852F63" w:rsidRPr="00852F63" w:rsidRDefault="00852F63" w:rsidP="00852F63">
      <w:pPr>
        <w:rPr>
          <w:rFonts w:asciiTheme="majorHAnsi" w:hAnsiTheme="majorHAnsi"/>
          <w:sz w:val="24"/>
        </w:rPr>
      </w:pPr>
      <w:r w:rsidRPr="00852F63">
        <w:rPr>
          <w:rFonts w:asciiTheme="majorHAnsi" w:hAnsiTheme="majorHAnsi"/>
          <w:sz w:val="24"/>
        </w:rPr>
        <w:t>Une demande forte de clarification des rôles de chacun des membres du binôme est exprimée. Le manque de précision à ce sujet engendre des dysfonctionnements, des incompréhensions voire des rancœurs.</w:t>
      </w:r>
      <w:r w:rsidRPr="00852F63">
        <w:rPr>
          <w:rFonts w:asciiTheme="majorHAnsi" w:hAnsiTheme="majorHAnsi"/>
          <w:sz w:val="24"/>
        </w:rPr>
        <w:br/>
        <w:t>L'efficacité du travail de l'ASEM passe par une explicitation de la part de l'enseignant des buts, des objectifs des tâches demandées aux élèves. Il ressort des différentes remarques que l'ASEM a des difficultés à trouver le sens des activités proposées et à accompagner efficacement  les élèves par manque d'information.</w:t>
      </w:r>
      <w:r w:rsidRPr="00852F63">
        <w:rPr>
          <w:rFonts w:asciiTheme="majorHAnsi" w:hAnsiTheme="majorHAnsi"/>
          <w:sz w:val="24"/>
        </w:rPr>
        <w:br/>
        <w:t xml:space="preserve">Une répartition claire des tâches, le partage d'expériences et de méthodes semblent être des critères importants d'amélioration de l'efficience professionnelle. </w:t>
      </w:r>
    </w:p>
    <w:p w:rsidR="00852F63" w:rsidRPr="00852F63" w:rsidRDefault="00852F63" w:rsidP="00852F63">
      <w:pPr>
        <w:rPr>
          <w:rFonts w:asciiTheme="majorHAnsi" w:hAnsiTheme="majorHAnsi"/>
          <w:sz w:val="24"/>
          <w:u w:val="single"/>
        </w:rPr>
      </w:pPr>
      <w:r w:rsidRPr="00852F63">
        <w:rPr>
          <w:rFonts w:asciiTheme="majorHAnsi" w:hAnsiTheme="majorHAnsi"/>
          <w:sz w:val="24"/>
          <w:u w:val="single"/>
        </w:rPr>
        <w:t>2/ Volet émotionnel et affectif :</w:t>
      </w:r>
      <w:r w:rsidRPr="00852F63">
        <w:rPr>
          <w:rFonts w:asciiTheme="majorHAnsi" w:hAnsiTheme="majorHAnsi"/>
          <w:sz w:val="24"/>
        </w:rPr>
        <w:t xml:space="preserve"> renvoie aux affects, aux ressentis</w:t>
      </w:r>
    </w:p>
    <w:p w:rsidR="00852F63" w:rsidRPr="00852F63" w:rsidRDefault="00852F63" w:rsidP="00852F63">
      <w:pPr>
        <w:rPr>
          <w:rFonts w:asciiTheme="majorHAnsi" w:hAnsiTheme="majorHAnsi"/>
          <w:sz w:val="24"/>
        </w:rPr>
      </w:pPr>
      <w:r w:rsidRPr="00852F63">
        <w:rPr>
          <w:rFonts w:asciiTheme="majorHAnsi" w:hAnsiTheme="majorHAnsi"/>
          <w:sz w:val="24"/>
        </w:rPr>
        <w:t xml:space="preserve">Les remarques faites à ce sujet se réfèrent non plus au 'professionnel" mais au "personnel". </w:t>
      </w:r>
      <w:r w:rsidRPr="00852F63">
        <w:rPr>
          <w:rFonts w:asciiTheme="majorHAnsi" w:hAnsiTheme="majorHAnsi"/>
          <w:sz w:val="24"/>
        </w:rPr>
        <w:br/>
        <w:t>- Dévalorisation, jugement, dureté, timidité, manque de confiance en soi, peur de mal faire,  ...</w:t>
      </w:r>
      <w:r w:rsidRPr="00852F63">
        <w:rPr>
          <w:rFonts w:asciiTheme="majorHAnsi" w:hAnsiTheme="majorHAnsi"/>
          <w:sz w:val="24"/>
        </w:rPr>
        <w:br/>
        <w:t>- joie, épanouissement, valorisation, ...</w:t>
      </w:r>
    </w:p>
    <w:p w:rsidR="00852F63" w:rsidRPr="00852F63" w:rsidRDefault="00852F63" w:rsidP="00852F63">
      <w:pPr>
        <w:rPr>
          <w:rFonts w:asciiTheme="majorHAnsi" w:hAnsiTheme="majorHAnsi"/>
          <w:sz w:val="24"/>
          <w:u w:val="single"/>
        </w:rPr>
      </w:pPr>
      <w:r w:rsidRPr="00852F63">
        <w:rPr>
          <w:rFonts w:asciiTheme="majorHAnsi" w:hAnsiTheme="majorHAnsi"/>
          <w:sz w:val="24"/>
        </w:rPr>
        <w:t>Il est difficile de prendre de la distance lorsqu'une crise ou un malaise s'installe dans le binôme.</w:t>
      </w:r>
      <w:r w:rsidRPr="00852F63">
        <w:rPr>
          <w:rFonts w:asciiTheme="majorHAnsi" w:hAnsiTheme="majorHAnsi"/>
          <w:sz w:val="24"/>
        </w:rPr>
        <w:br/>
        <w:t>Celui-ci n''est pas un "couple" choisi. Des ajustements, des compromis sont nécessaires avec comme objectif premier , l'efficacité professionnelle.</w:t>
      </w:r>
      <w:r w:rsidRPr="00852F63">
        <w:rPr>
          <w:rFonts w:asciiTheme="majorHAnsi" w:hAnsiTheme="majorHAnsi"/>
          <w:sz w:val="24"/>
        </w:rPr>
        <w:br/>
      </w:r>
      <w:r w:rsidRPr="00852F63">
        <w:rPr>
          <w:rFonts w:asciiTheme="majorHAnsi" w:hAnsiTheme="majorHAnsi"/>
          <w:sz w:val="24"/>
          <w:u w:val="single"/>
        </w:rPr>
        <w:br/>
        <w:t>3/ Volet relationnel et communication :</w:t>
      </w:r>
      <w:r w:rsidRPr="00852F63">
        <w:rPr>
          <w:rFonts w:asciiTheme="majorHAnsi" w:hAnsiTheme="majorHAnsi"/>
          <w:sz w:val="24"/>
        </w:rPr>
        <w:t xml:space="preserve"> traite des relations dans le binôme enseignant/ASEM</w:t>
      </w:r>
    </w:p>
    <w:p w:rsidR="00852F63" w:rsidRPr="00852F63" w:rsidRDefault="00852F63" w:rsidP="00852F63">
      <w:pPr>
        <w:rPr>
          <w:rFonts w:asciiTheme="majorHAnsi" w:hAnsiTheme="majorHAnsi"/>
          <w:sz w:val="24"/>
        </w:rPr>
      </w:pPr>
      <w:r w:rsidRPr="00852F63">
        <w:rPr>
          <w:rFonts w:asciiTheme="majorHAnsi" w:hAnsiTheme="majorHAnsi"/>
          <w:sz w:val="24"/>
        </w:rPr>
        <w:t>ASEM et enseignante sont des alliées. L'harmonie dans la relation est souvent exprimée soit parce qu'elle est forte soit parce qu'elle est inexistante.</w:t>
      </w:r>
      <w:r w:rsidRPr="00852F63">
        <w:rPr>
          <w:rFonts w:asciiTheme="majorHAnsi" w:hAnsiTheme="majorHAnsi"/>
          <w:sz w:val="24"/>
        </w:rPr>
        <w:br/>
        <w:t>"Communiquer sans crainte" est nécessaire pour comprendre les enjeux de l'activité scolaire et accompagner au mieux les élèves.</w:t>
      </w:r>
      <w:r w:rsidRPr="00852F63">
        <w:rPr>
          <w:rFonts w:asciiTheme="majorHAnsi" w:hAnsiTheme="majorHAnsi"/>
          <w:sz w:val="24"/>
        </w:rPr>
        <w:br/>
        <w:t>La peur d'être jugée, le sentiment de ne pas être écoutée  reviennent souvent.</w:t>
      </w:r>
      <w:r w:rsidRPr="00852F63">
        <w:rPr>
          <w:rFonts w:asciiTheme="majorHAnsi" w:hAnsiTheme="majorHAnsi"/>
          <w:sz w:val="24"/>
        </w:rPr>
        <w:br/>
        <w:t>Parler des incompréhensions, clarifier les zones d'ombre (dues aux non-dits, à l'implicite, ...), ne pas être dans le jugement  mais dans l'échange positif, faire confiance semblent être des préoccupations majeures pour un bon fonctionnement du binôme.</w:t>
      </w:r>
      <w:r w:rsidRPr="00852F63">
        <w:rPr>
          <w:rFonts w:asciiTheme="majorHAnsi" w:hAnsiTheme="majorHAnsi"/>
          <w:sz w:val="24"/>
        </w:rPr>
        <w:br/>
      </w:r>
      <w:r w:rsidRPr="00852F63">
        <w:rPr>
          <w:rFonts w:asciiTheme="majorHAnsi" w:hAnsiTheme="majorHAnsi"/>
          <w:sz w:val="24"/>
          <w:u w:val="single"/>
        </w:rPr>
        <w:br/>
        <w:t xml:space="preserve">4/ Volet institutionnel : </w:t>
      </w:r>
      <w:r w:rsidRPr="00852F63">
        <w:rPr>
          <w:rFonts w:asciiTheme="majorHAnsi" w:hAnsiTheme="majorHAnsi"/>
          <w:sz w:val="24"/>
        </w:rPr>
        <w:t>se réfère aux attentes ou contraintes de l'institution</w:t>
      </w:r>
    </w:p>
    <w:p w:rsidR="00852F63" w:rsidRPr="004C2372" w:rsidRDefault="00852F63" w:rsidP="00852F63">
      <w:pPr>
        <w:rPr>
          <w:sz w:val="24"/>
        </w:rPr>
      </w:pPr>
      <w:r w:rsidRPr="00852F63">
        <w:rPr>
          <w:rFonts w:asciiTheme="majorHAnsi" w:hAnsiTheme="majorHAnsi"/>
          <w:sz w:val="24"/>
        </w:rPr>
        <w:t>Le manque de formation et de moyens est souvent évoqué. L'instabilité des équipes a un impact direct sur le fonctionnement du binôme.</w:t>
      </w:r>
      <w:r w:rsidRPr="00852F63">
        <w:rPr>
          <w:rFonts w:asciiTheme="majorHAnsi" w:hAnsiTheme="majorHAnsi"/>
          <w:sz w:val="24"/>
        </w:rPr>
        <w:br/>
      </w:r>
    </w:p>
    <w:p w:rsidR="00852F63" w:rsidRDefault="00852F63">
      <w:pPr>
        <w:sectPr w:rsidR="00852F63" w:rsidSect="00852F63">
          <w:pgSz w:w="11906" w:h="16838"/>
          <w:pgMar w:top="720" w:right="720" w:bottom="720" w:left="720" w:header="708" w:footer="708" w:gutter="0"/>
          <w:cols w:space="708"/>
          <w:docGrid w:linePitch="360"/>
        </w:sectPr>
      </w:pPr>
    </w:p>
    <w:p w:rsidR="00852F63" w:rsidRDefault="00852F63" w:rsidP="00852F63">
      <w:pPr>
        <w:pStyle w:val="Sansinterligne"/>
        <w:rPr>
          <w:rFonts w:asciiTheme="majorHAnsi" w:hAnsiTheme="majorHAnsi"/>
          <w:b/>
        </w:rPr>
      </w:pPr>
      <w:r w:rsidRPr="00852F63">
        <w:rPr>
          <w:rFonts w:asciiTheme="majorHAnsi" w:hAnsiTheme="majorHAnsi"/>
          <w:b/>
          <w:sz w:val="28"/>
        </w:rPr>
        <w:t>Synthèse des différents rôles à partir de l'analyse des emplois du temps</w:t>
      </w:r>
      <w:r w:rsidRPr="00852F63">
        <w:rPr>
          <w:rFonts w:asciiTheme="majorHAnsi" w:hAnsiTheme="majorHAnsi"/>
          <w:b/>
        </w:rPr>
        <w:tab/>
        <w:t xml:space="preserve"> </w:t>
      </w:r>
    </w:p>
    <w:p w:rsidR="00852F63" w:rsidRPr="00852F63" w:rsidRDefault="00852F63" w:rsidP="00852F63">
      <w:pPr>
        <w:pStyle w:val="Sansinterligne"/>
        <w:rPr>
          <w:rFonts w:asciiTheme="majorHAnsi" w:hAnsiTheme="majorHAnsi"/>
          <w:b/>
        </w:rPr>
      </w:pPr>
    </w:p>
    <w:tbl>
      <w:tblPr>
        <w:tblStyle w:val="Grilledutableau"/>
        <w:tblW w:w="0" w:type="auto"/>
        <w:tblLayout w:type="fixed"/>
        <w:tblLook w:val="04A0"/>
      </w:tblPr>
      <w:tblGrid>
        <w:gridCol w:w="1809"/>
        <w:gridCol w:w="4536"/>
        <w:gridCol w:w="4303"/>
      </w:tblGrid>
      <w:tr w:rsidR="00852F63" w:rsidRPr="00852F63" w:rsidTr="00E54C80">
        <w:trPr>
          <w:trHeight w:val="289"/>
        </w:trPr>
        <w:tc>
          <w:tcPr>
            <w:tcW w:w="1809" w:type="dxa"/>
            <w:vAlign w:val="center"/>
          </w:tcPr>
          <w:p w:rsidR="00852F63" w:rsidRPr="00852F63" w:rsidRDefault="00852F63" w:rsidP="00852F63">
            <w:pPr>
              <w:pStyle w:val="Sansinterligne"/>
              <w:rPr>
                <w:rFonts w:asciiTheme="majorHAnsi" w:hAnsiTheme="majorHAnsi"/>
                <w:sz w:val="24"/>
              </w:rPr>
            </w:pPr>
          </w:p>
        </w:tc>
        <w:tc>
          <w:tcPr>
            <w:tcW w:w="4536" w:type="dxa"/>
            <w:vAlign w:val="center"/>
          </w:tcPr>
          <w:p w:rsidR="00852F63" w:rsidRPr="00852F63" w:rsidRDefault="00852F63" w:rsidP="00852F63">
            <w:pPr>
              <w:pStyle w:val="Sansinterligne"/>
              <w:jc w:val="center"/>
              <w:rPr>
                <w:rFonts w:asciiTheme="majorHAnsi" w:hAnsiTheme="majorHAnsi"/>
                <w:b/>
                <w:sz w:val="28"/>
              </w:rPr>
            </w:pPr>
            <w:r w:rsidRPr="00852F63">
              <w:rPr>
                <w:rFonts w:asciiTheme="majorHAnsi" w:hAnsiTheme="majorHAnsi"/>
                <w:b/>
                <w:sz w:val="28"/>
              </w:rPr>
              <w:t>Rôle de l'enseignant</w:t>
            </w:r>
          </w:p>
        </w:tc>
        <w:tc>
          <w:tcPr>
            <w:tcW w:w="4303" w:type="dxa"/>
            <w:vAlign w:val="center"/>
          </w:tcPr>
          <w:p w:rsidR="00852F63" w:rsidRPr="00852F63" w:rsidRDefault="00852F63" w:rsidP="00852F63">
            <w:pPr>
              <w:pStyle w:val="Sansinterligne"/>
              <w:jc w:val="center"/>
              <w:rPr>
                <w:rFonts w:asciiTheme="majorHAnsi" w:hAnsiTheme="majorHAnsi"/>
                <w:b/>
                <w:sz w:val="28"/>
              </w:rPr>
            </w:pPr>
            <w:r w:rsidRPr="00852F63">
              <w:rPr>
                <w:rFonts w:asciiTheme="majorHAnsi" w:hAnsiTheme="majorHAnsi"/>
                <w:b/>
                <w:sz w:val="28"/>
              </w:rPr>
              <w:t>Rôle de l'ASEM</w:t>
            </w:r>
          </w:p>
        </w:tc>
      </w:tr>
      <w:tr w:rsidR="00852F63" w:rsidRPr="00852F63" w:rsidTr="00E54C80">
        <w:trPr>
          <w:trHeight w:val="806"/>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Accueil</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Accueil parents, enfants</w:t>
            </w:r>
          </w:p>
          <w:p w:rsidR="00852F63" w:rsidRPr="00852F63" w:rsidRDefault="00852F63" w:rsidP="00852F63">
            <w:pPr>
              <w:pStyle w:val="Sansinterligne"/>
              <w:rPr>
                <w:rFonts w:asciiTheme="majorHAnsi" w:hAnsiTheme="majorHAnsi"/>
              </w:rPr>
            </w:pPr>
            <w:r w:rsidRPr="00852F63">
              <w:rPr>
                <w:rFonts w:asciiTheme="majorHAnsi" w:hAnsiTheme="majorHAnsi"/>
              </w:rPr>
              <w:t>Accueil conjoint avec l'ASEM</w:t>
            </w:r>
          </w:p>
          <w:p w:rsidR="00852F63" w:rsidRPr="00852F63" w:rsidRDefault="00852F63" w:rsidP="00852F63">
            <w:pPr>
              <w:pStyle w:val="Sansinterligne"/>
              <w:rPr>
                <w:rFonts w:asciiTheme="majorHAnsi" w:hAnsiTheme="majorHAnsi"/>
              </w:rPr>
            </w:pPr>
            <w:r w:rsidRPr="00852F63">
              <w:rPr>
                <w:rFonts w:asciiTheme="majorHAnsi" w:hAnsiTheme="majorHAnsi"/>
              </w:rPr>
              <w:t>Anime une activité avec un petit groupe</w:t>
            </w:r>
          </w:p>
          <w:p w:rsidR="00852F63" w:rsidRPr="00852F63" w:rsidRDefault="00852F63" w:rsidP="00852F63">
            <w:pPr>
              <w:pStyle w:val="Sansinterligne"/>
              <w:rPr>
                <w:rFonts w:asciiTheme="majorHAnsi" w:hAnsiTheme="majorHAnsi"/>
              </w:rPr>
            </w:pPr>
            <w:proofErr w:type="spellStart"/>
            <w:r w:rsidRPr="00852F63">
              <w:rPr>
                <w:rFonts w:asciiTheme="majorHAnsi" w:hAnsiTheme="majorHAnsi"/>
              </w:rPr>
              <w:t>Remédiation</w:t>
            </w:r>
            <w:proofErr w:type="spellEnd"/>
            <w:r w:rsidRPr="00852F63">
              <w:rPr>
                <w:rFonts w:asciiTheme="majorHAnsi" w:hAnsiTheme="majorHAnsi"/>
              </w:rPr>
              <w:t>, APC</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Installe les jeux</w:t>
            </w:r>
          </w:p>
          <w:p w:rsidR="00852F63" w:rsidRPr="00852F63" w:rsidRDefault="00852F63" w:rsidP="00852F63">
            <w:pPr>
              <w:pStyle w:val="Sansinterligne"/>
              <w:rPr>
                <w:rFonts w:asciiTheme="majorHAnsi" w:hAnsiTheme="majorHAnsi"/>
              </w:rPr>
            </w:pPr>
            <w:r w:rsidRPr="00852F63">
              <w:rPr>
                <w:rFonts w:asciiTheme="majorHAnsi" w:hAnsiTheme="majorHAnsi"/>
              </w:rPr>
              <w:t>Gestion des cahiers, accompagne les enfants dans les coins-jeux</w:t>
            </w:r>
          </w:p>
          <w:p w:rsidR="00852F63" w:rsidRPr="00852F63" w:rsidRDefault="00852F63" w:rsidP="00852F63">
            <w:pPr>
              <w:pStyle w:val="Sansinterligne"/>
              <w:rPr>
                <w:rFonts w:asciiTheme="majorHAnsi" w:hAnsiTheme="majorHAnsi"/>
              </w:rPr>
            </w:pPr>
            <w:r w:rsidRPr="00852F63">
              <w:rPr>
                <w:rFonts w:asciiTheme="majorHAnsi" w:hAnsiTheme="majorHAnsi"/>
              </w:rPr>
              <w:t>Accueil conjoint des enfants et des parents</w:t>
            </w:r>
          </w:p>
          <w:p w:rsidR="00852F63" w:rsidRPr="00852F63" w:rsidRDefault="00852F63" w:rsidP="00852F63">
            <w:pPr>
              <w:pStyle w:val="Sansinterligne"/>
              <w:rPr>
                <w:rFonts w:asciiTheme="majorHAnsi" w:hAnsiTheme="majorHAnsi"/>
              </w:rPr>
            </w:pPr>
            <w:r w:rsidRPr="00852F63">
              <w:rPr>
                <w:rFonts w:asciiTheme="majorHAnsi" w:hAnsiTheme="majorHAnsi"/>
              </w:rPr>
              <w:t>Accueil des enfants : étiquette, choix d'une activité</w:t>
            </w:r>
          </w:p>
          <w:p w:rsidR="00852F63" w:rsidRPr="00852F63" w:rsidRDefault="00852F63" w:rsidP="00852F63">
            <w:pPr>
              <w:pStyle w:val="Sansinterligne"/>
              <w:rPr>
                <w:rFonts w:asciiTheme="majorHAnsi" w:hAnsiTheme="majorHAnsi"/>
              </w:rPr>
            </w:pPr>
            <w:r w:rsidRPr="00852F63">
              <w:rPr>
                <w:rFonts w:asciiTheme="majorHAnsi" w:hAnsiTheme="majorHAnsi"/>
              </w:rPr>
              <w:t>Surveille les enfants qui ne sont pas en APC (jeudi de 8h à 9h)</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Jeux libres</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Anime</w:t>
            </w:r>
          </w:p>
          <w:p w:rsidR="00852F63" w:rsidRPr="00852F63" w:rsidRDefault="00852F63" w:rsidP="00852F63">
            <w:pPr>
              <w:pStyle w:val="Sansinterligne"/>
              <w:rPr>
                <w:rFonts w:asciiTheme="majorHAnsi" w:hAnsiTheme="majorHAnsi"/>
              </w:rPr>
            </w:pPr>
            <w:r w:rsidRPr="00852F63">
              <w:rPr>
                <w:rFonts w:asciiTheme="majorHAnsi" w:hAnsiTheme="majorHAnsi"/>
              </w:rPr>
              <w:t>Passe dans les coins-jeux</w:t>
            </w:r>
          </w:p>
          <w:p w:rsidR="00852F63" w:rsidRPr="00852F63" w:rsidRDefault="00852F63" w:rsidP="00852F63">
            <w:pPr>
              <w:pStyle w:val="Sansinterligne"/>
              <w:rPr>
                <w:rFonts w:asciiTheme="majorHAnsi" w:hAnsiTheme="majorHAnsi"/>
              </w:rPr>
            </w:pPr>
            <w:r w:rsidRPr="00852F63">
              <w:rPr>
                <w:rFonts w:asciiTheme="majorHAnsi" w:hAnsiTheme="majorHAnsi"/>
              </w:rPr>
              <w:t>Echange avec les enfants dans les coins-jeux (relation duelle)</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Anime</w:t>
            </w:r>
          </w:p>
          <w:p w:rsidR="00852F63" w:rsidRPr="00852F63" w:rsidRDefault="00852F63" w:rsidP="00852F63">
            <w:pPr>
              <w:pStyle w:val="Sansinterligne"/>
              <w:rPr>
                <w:rFonts w:asciiTheme="majorHAnsi" w:hAnsiTheme="majorHAnsi"/>
              </w:rPr>
            </w:pPr>
            <w:r w:rsidRPr="00852F63">
              <w:rPr>
                <w:rFonts w:asciiTheme="majorHAnsi" w:hAnsiTheme="majorHAnsi"/>
              </w:rPr>
              <w:t>Emmène les enfants aux toilettes</w:t>
            </w:r>
          </w:p>
          <w:p w:rsidR="00852F63" w:rsidRPr="00852F63" w:rsidRDefault="00852F63" w:rsidP="00852F63">
            <w:pPr>
              <w:pStyle w:val="Sansinterligne"/>
              <w:rPr>
                <w:rFonts w:asciiTheme="majorHAnsi" w:hAnsiTheme="majorHAnsi"/>
              </w:rPr>
            </w:pPr>
          </w:p>
        </w:tc>
      </w:tr>
      <w:tr w:rsidR="00852F63" w:rsidRPr="00852F63" w:rsidTr="00E54C80">
        <w:trPr>
          <w:trHeight w:val="259"/>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Regroupement (rituels, lecture offerte, ...)</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Prend la classe entière</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Mise en place des ateliers</w:t>
            </w:r>
          </w:p>
          <w:p w:rsidR="00852F63" w:rsidRPr="00852F63" w:rsidRDefault="00852F63" w:rsidP="00852F63">
            <w:pPr>
              <w:pStyle w:val="Sansinterligne"/>
              <w:rPr>
                <w:rFonts w:asciiTheme="majorHAnsi" w:hAnsiTheme="majorHAnsi"/>
              </w:rPr>
            </w:pPr>
            <w:r w:rsidRPr="00852F63">
              <w:rPr>
                <w:rFonts w:asciiTheme="majorHAnsi" w:hAnsiTheme="majorHAnsi"/>
              </w:rPr>
              <w:t>Assiste au regroupement, participe au chant, effectue la même chose que les enfants.</w:t>
            </w:r>
          </w:p>
          <w:p w:rsidR="00852F63" w:rsidRPr="00852F63" w:rsidRDefault="00852F63" w:rsidP="00852F63">
            <w:pPr>
              <w:pStyle w:val="Sansinterligne"/>
              <w:rPr>
                <w:rFonts w:asciiTheme="majorHAnsi" w:hAnsiTheme="majorHAnsi"/>
              </w:rPr>
            </w:pPr>
            <w:r w:rsidRPr="00852F63">
              <w:rPr>
                <w:rFonts w:asciiTheme="majorHAnsi" w:hAnsiTheme="majorHAnsi"/>
              </w:rPr>
              <w:t>Assiste sans participer</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EPS</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Prend la classe entière</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Aide</w:t>
            </w:r>
          </w:p>
          <w:p w:rsidR="00852F63" w:rsidRPr="00852F63" w:rsidRDefault="00852F63" w:rsidP="00852F63">
            <w:pPr>
              <w:pStyle w:val="Sansinterligne"/>
              <w:rPr>
                <w:rFonts w:asciiTheme="majorHAnsi" w:hAnsiTheme="majorHAnsi"/>
              </w:rPr>
            </w:pPr>
            <w:r w:rsidRPr="00852F63">
              <w:rPr>
                <w:rFonts w:asciiTheme="majorHAnsi" w:hAnsiTheme="majorHAnsi"/>
              </w:rPr>
              <w:t>Aide à la gestion des groupes</w:t>
            </w:r>
          </w:p>
          <w:p w:rsidR="00852F63" w:rsidRPr="00852F63" w:rsidRDefault="00852F63" w:rsidP="00852F63">
            <w:pPr>
              <w:pStyle w:val="Sansinterligne"/>
              <w:rPr>
                <w:rFonts w:asciiTheme="majorHAnsi" w:hAnsiTheme="majorHAnsi"/>
              </w:rPr>
            </w:pPr>
            <w:r w:rsidRPr="00852F63">
              <w:rPr>
                <w:rFonts w:asciiTheme="majorHAnsi" w:hAnsiTheme="majorHAnsi"/>
              </w:rPr>
              <w:t>Rappel des règles du jeu et de sécurité</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p>
          <w:p w:rsidR="00852F63" w:rsidRPr="00852F63" w:rsidRDefault="00852F63" w:rsidP="00852F63">
            <w:pPr>
              <w:pStyle w:val="Sansinterligne"/>
              <w:rPr>
                <w:rFonts w:asciiTheme="majorHAnsi" w:hAnsiTheme="majorHAnsi"/>
                <w:b/>
              </w:rPr>
            </w:pPr>
            <w:r w:rsidRPr="00852F63">
              <w:rPr>
                <w:rFonts w:asciiTheme="majorHAnsi" w:hAnsiTheme="majorHAnsi"/>
                <w:b/>
              </w:rPr>
              <w:t>Repos</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Aide au retour au calme</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Aide au retour au calme</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Récréation</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Surveillance/coupure</w:t>
            </w:r>
          </w:p>
          <w:p w:rsidR="00852F63" w:rsidRPr="00852F63" w:rsidRDefault="00852F63" w:rsidP="00852F63">
            <w:pPr>
              <w:pStyle w:val="Sansinterligne"/>
              <w:rPr>
                <w:rFonts w:asciiTheme="majorHAnsi" w:hAnsiTheme="majorHAnsi"/>
              </w:rPr>
            </w:pPr>
            <w:r w:rsidRPr="00852F63">
              <w:rPr>
                <w:rFonts w:asciiTheme="majorHAnsi" w:hAnsiTheme="majorHAnsi"/>
              </w:rPr>
              <w:t>Surveillance en alternance avec l'ASEM</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Surveillance/coupure</w:t>
            </w:r>
          </w:p>
          <w:p w:rsidR="00852F63" w:rsidRPr="00852F63" w:rsidRDefault="00852F63" w:rsidP="00852F63">
            <w:pPr>
              <w:pStyle w:val="Sansinterligne"/>
              <w:rPr>
                <w:rFonts w:asciiTheme="majorHAnsi" w:hAnsiTheme="majorHAnsi"/>
              </w:rPr>
            </w:pPr>
            <w:r w:rsidRPr="00852F63">
              <w:rPr>
                <w:rFonts w:asciiTheme="majorHAnsi" w:hAnsiTheme="majorHAnsi"/>
              </w:rPr>
              <w:t>Surveillance + toilettes</w:t>
            </w:r>
          </w:p>
          <w:p w:rsidR="00852F63" w:rsidRPr="00852F63" w:rsidRDefault="00852F63" w:rsidP="00852F63">
            <w:pPr>
              <w:pStyle w:val="Sansinterligne"/>
              <w:rPr>
                <w:rFonts w:asciiTheme="majorHAnsi" w:hAnsiTheme="majorHAnsi"/>
              </w:rPr>
            </w:pPr>
            <w:r w:rsidRPr="00852F63">
              <w:rPr>
                <w:rFonts w:asciiTheme="majorHAnsi" w:hAnsiTheme="majorHAnsi"/>
              </w:rPr>
              <w:t>Surveillance en alternance avec l'enseignante</w:t>
            </w:r>
          </w:p>
        </w:tc>
      </w:tr>
      <w:tr w:rsidR="00852F63" w:rsidRPr="00852F63" w:rsidTr="00E54C80">
        <w:trPr>
          <w:trHeight w:val="259"/>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Lavage des mains, goûter</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Aide les enfants</w:t>
            </w:r>
          </w:p>
          <w:p w:rsidR="00852F63" w:rsidRPr="00852F63" w:rsidRDefault="00852F63" w:rsidP="00852F63">
            <w:pPr>
              <w:pStyle w:val="Sansinterligne"/>
              <w:rPr>
                <w:rFonts w:asciiTheme="majorHAnsi" w:hAnsiTheme="majorHAnsi"/>
              </w:rPr>
            </w:pPr>
            <w:r w:rsidRPr="00852F63">
              <w:rPr>
                <w:rFonts w:asciiTheme="majorHAnsi" w:hAnsiTheme="majorHAnsi"/>
              </w:rPr>
              <w:t>Education à l'hygiène, au goût</w:t>
            </w:r>
          </w:p>
          <w:p w:rsidR="00852F63" w:rsidRPr="00852F63" w:rsidRDefault="00852F63" w:rsidP="00852F63">
            <w:pPr>
              <w:pStyle w:val="Sansinterligne"/>
              <w:rPr>
                <w:rFonts w:asciiTheme="majorHAnsi" w:hAnsiTheme="majorHAnsi"/>
              </w:rPr>
            </w:pPr>
            <w:r w:rsidRPr="00852F63">
              <w:rPr>
                <w:rFonts w:asciiTheme="majorHAnsi" w:hAnsiTheme="majorHAnsi"/>
              </w:rPr>
              <w:t>Incite les enfants à nettoyer leur table</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Aide les enfants</w:t>
            </w:r>
          </w:p>
          <w:p w:rsidR="00852F63" w:rsidRPr="00852F63" w:rsidRDefault="00852F63" w:rsidP="00852F63">
            <w:pPr>
              <w:pStyle w:val="Sansinterligne"/>
              <w:rPr>
                <w:rFonts w:asciiTheme="majorHAnsi" w:hAnsiTheme="majorHAnsi"/>
              </w:rPr>
            </w:pPr>
            <w:r w:rsidRPr="00852F63">
              <w:rPr>
                <w:rFonts w:asciiTheme="majorHAnsi" w:hAnsiTheme="majorHAnsi"/>
              </w:rPr>
              <w:t>Education à l'hygiène, au goût</w:t>
            </w:r>
          </w:p>
          <w:p w:rsidR="00852F63" w:rsidRPr="00852F63" w:rsidRDefault="00852F63" w:rsidP="00852F63">
            <w:pPr>
              <w:pStyle w:val="Sansinterligne"/>
              <w:rPr>
                <w:rFonts w:asciiTheme="majorHAnsi" w:hAnsiTheme="majorHAnsi"/>
              </w:rPr>
            </w:pPr>
            <w:r w:rsidRPr="00852F63">
              <w:rPr>
                <w:rFonts w:asciiTheme="majorHAnsi" w:hAnsiTheme="majorHAnsi"/>
              </w:rPr>
              <w:t>Nettoyage de la classe + toilettes si nécessaire</w:t>
            </w:r>
          </w:p>
          <w:p w:rsidR="00852F63" w:rsidRPr="00852F63" w:rsidRDefault="00852F63" w:rsidP="00852F63">
            <w:pPr>
              <w:pStyle w:val="Sansinterligne"/>
              <w:rPr>
                <w:rFonts w:asciiTheme="majorHAnsi" w:hAnsiTheme="majorHAnsi"/>
              </w:rPr>
            </w:pPr>
            <w:r w:rsidRPr="00852F63">
              <w:rPr>
                <w:rFonts w:asciiTheme="majorHAnsi" w:hAnsiTheme="majorHAnsi"/>
              </w:rPr>
              <w:t>Vérifie la propreté des tables</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ateliers</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Dirige</w:t>
            </w:r>
          </w:p>
          <w:p w:rsidR="00852F63" w:rsidRPr="00852F63" w:rsidRDefault="00852F63" w:rsidP="00852F63">
            <w:pPr>
              <w:pStyle w:val="Sansinterligne"/>
              <w:rPr>
                <w:rFonts w:asciiTheme="majorHAnsi" w:hAnsiTheme="majorHAnsi"/>
              </w:rPr>
            </w:pPr>
            <w:r w:rsidRPr="00852F63">
              <w:rPr>
                <w:rFonts w:asciiTheme="majorHAnsi" w:hAnsiTheme="majorHAnsi"/>
              </w:rPr>
              <w:t>Dirige un atelier pour un nouvel apprentissage ou 2 ateliers de réinvestissement</w:t>
            </w:r>
          </w:p>
          <w:p w:rsidR="00852F63" w:rsidRPr="00852F63" w:rsidRDefault="00852F63" w:rsidP="00852F63">
            <w:pPr>
              <w:pStyle w:val="Sansinterligne"/>
              <w:rPr>
                <w:rFonts w:asciiTheme="majorHAnsi" w:hAnsiTheme="majorHAnsi"/>
              </w:rPr>
            </w:pPr>
            <w:r w:rsidRPr="00852F63">
              <w:rPr>
                <w:rFonts w:asciiTheme="majorHAnsi" w:hAnsiTheme="majorHAnsi"/>
              </w:rPr>
              <w:t>Donne les consignes</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Supervise</w:t>
            </w:r>
          </w:p>
          <w:p w:rsidR="00852F63" w:rsidRPr="00852F63" w:rsidRDefault="00852F63" w:rsidP="00852F63">
            <w:pPr>
              <w:pStyle w:val="Sansinterligne"/>
              <w:rPr>
                <w:rFonts w:asciiTheme="majorHAnsi" w:hAnsiTheme="majorHAnsi"/>
              </w:rPr>
            </w:pPr>
            <w:r w:rsidRPr="00852F63">
              <w:rPr>
                <w:rFonts w:asciiTheme="majorHAnsi" w:hAnsiTheme="majorHAnsi"/>
              </w:rPr>
              <w:t>Accompagnement en anglais</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BCD</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 xml:space="preserve">Anime la séance </w:t>
            </w: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Anime un groupe</w:t>
            </w:r>
          </w:p>
          <w:p w:rsidR="00852F63" w:rsidRPr="00852F63" w:rsidRDefault="00852F63" w:rsidP="00852F63">
            <w:pPr>
              <w:pStyle w:val="Sansinterligne"/>
              <w:rPr>
                <w:rFonts w:asciiTheme="majorHAnsi" w:hAnsiTheme="majorHAnsi"/>
              </w:rPr>
            </w:pPr>
            <w:r w:rsidRPr="00852F63">
              <w:rPr>
                <w:rFonts w:asciiTheme="majorHAnsi" w:hAnsiTheme="majorHAnsi"/>
              </w:rPr>
              <w:t>Prend un groupe en atelier de découverte du monde</w:t>
            </w:r>
          </w:p>
          <w:p w:rsidR="00852F63" w:rsidRPr="00852F63" w:rsidRDefault="00852F63" w:rsidP="00852F63">
            <w:pPr>
              <w:pStyle w:val="Sansinterligne"/>
              <w:rPr>
                <w:rFonts w:asciiTheme="majorHAnsi" w:hAnsiTheme="majorHAnsi"/>
              </w:rPr>
            </w:pPr>
            <w:r w:rsidRPr="00852F63">
              <w:rPr>
                <w:rFonts w:asciiTheme="majorHAnsi" w:hAnsiTheme="majorHAnsi"/>
              </w:rPr>
              <w:t>Aide les enfants dans les activités en BCD</w:t>
            </w:r>
          </w:p>
          <w:p w:rsidR="00852F63" w:rsidRPr="00852F63" w:rsidRDefault="00852F63" w:rsidP="00852F63">
            <w:pPr>
              <w:pStyle w:val="Sansinterligne"/>
              <w:rPr>
                <w:rFonts w:asciiTheme="majorHAnsi" w:hAnsiTheme="majorHAnsi"/>
              </w:rPr>
            </w:pPr>
            <w:r w:rsidRPr="00852F63">
              <w:rPr>
                <w:rFonts w:asciiTheme="majorHAnsi" w:hAnsiTheme="majorHAnsi"/>
              </w:rPr>
              <w:t>Rangement du matériel dans la classe</w:t>
            </w:r>
          </w:p>
        </w:tc>
      </w:tr>
      <w:tr w:rsidR="00852F63" w:rsidRPr="00852F63" w:rsidTr="00E54C80">
        <w:trPr>
          <w:trHeight w:val="259"/>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b/>
              </w:rPr>
            </w:pPr>
            <w:r w:rsidRPr="00852F63">
              <w:rPr>
                <w:rFonts w:asciiTheme="majorHAnsi" w:hAnsiTheme="majorHAnsi"/>
                <w:b/>
              </w:rPr>
              <w:t>Départ/bus</w:t>
            </w: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Gère le départ</w:t>
            </w:r>
          </w:p>
          <w:p w:rsidR="00852F63" w:rsidRPr="00852F63" w:rsidRDefault="00852F63" w:rsidP="00852F63">
            <w:pPr>
              <w:pStyle w:val="Sansinterligne"/>
              <w:rPr>
                <w:rFonts w:asciiTheme="majorHAnsi" w:hAnsiTheme="majorHAnsi"/>
              </w:rPr>
            </w:pPr>
            <w:r w:rsidRPr="00852F63">
              <w:rPr>
                <w:rFonts w:asciiTheme="majorHAnsi" w:hAnsiTheme="majorHAnsi"/>
              </w:rPr>
              <w:t>Emmène les enfants à la cantine, au bus</w:t>
            </w:r>
          </w:p>
        </w:tc>
      </w:tr>
      <w:tr w:rsidR="00852F63" w:rsidRPr="00852F63" w:rsidTr="00E54C80">
        <w:trPr>
          <w:trHeight w:val="274"/>
        </w:trPr>
        <w:tc>
          <w:tcPr>
            <w:tcW w:w="1809" w:type="dxa"/>
            <w:tcBorders>
              <w:top w:val="single" w:sz="4" w:space="0" w:color="auto"/>
              <w:left w:val="single" w:sz="4" w:space="0" w:color="auto"/>
              <w:bottom w:val="single" w:sz="4" w:space="0" w:color="auto"/>
              <w:right w:val="single" w:sz="4" w:space="0" w:color="auto"/>
            </w:tcBorders>
            <w:vAlign w:val="center"/>
          </w:tcPr>
          <w:p w:rsidR="00852F63" w:rsidRPr="00852F63" w:rsidRDefault="00852F63" w:rsidP="00852F63">
            <w:pPr>
              <w:pStyle w:val="Sansinterligne"/>
              <w:rPr>
                <w:rFonts w:asciiTheme="majorHAnsi" w:hAnsiTheme="majorHAnsi"/>
              </w:rPr>
            </w:pPr>
          </w:p>
        </w:tc>
        <w:tc>
          <w:tcPr>
            <w:tcW w:w="4536"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p>
        </w:tc>
        <w:tc>
          <w:tcPr>
            <w:tcW w:w="4303" w:type="dxa"/>
            <w:tcBorders>
              <w:top w:val="single" w:sz="4" w:space="0" w:color="auto"/>
              <w:left w:val="single" w:sz="4" w:space="0" w:color="auto"/>
              <w:bottom w:val="single" w:sz="4" w:space="0" w:color="auto"/>
              <w:right w:val="single" w:sz="4" w:space="0" w:color="auto"/>
            </w:tcBorders>
          </w:tcPr>
          <w:p w:rsidR="00852F63" w:rsidRPr="00852F63" w:rsidRDefault="00852F63" w:rsidP="00852F63">
            <w:pPr>
              <w:pStyle w:val="Sansinterligne"/>
              <w:rPr>
                <w:rFonts w:asciiTheme="majorHAnsi" w:hAnsiTheme="majorHAnsi"/>
              </w:rPr>
            </w:pPr>
            <w:r w:rsidRPr="00852F63">
              <w:rPr>
                <w:rFonts w:asciiTheme="majorHAnsi" w:hAnsiTheme="majorHAnsi"/>
              </w:rPr>
              <w:t>Ménage</w:t>
            </w:r>
          </w:p>
        </w:tc>
      </w:tr>
    </w:tbl>
    <w:p w:rsidR="00852F63" w:rsidRDefault="00852F63"/>
    <w:p w:rsidR="0073515D" w:rsidRDefault="0073515D"/>
    <w:sectPr w:rsidR="0073515D" w:rsidSect="00E54C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7B01"/>
    <w:multiLevelType w:val="hybridMultilevel"/>
    <w:tmpl w:val="D2C42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A8167C"/>
    <w:multiLevelType w:val="hybridMultilevel"/>
    <w:tmpl w:val="A4F26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E004CD"/>
    <w:multiLevelType w:val="hybridMultilevel"/>
    <w:tmpl w:val="C1DA6A08"/>
    <w:lvl w:ilvl="0" w:tplc="040C0001">
      <w:start w:val="1"/>
      <w:numFmt w:val="bullet"/>
      <w:lvlText w:val=""/>
      <w:lvlJc w:val="left"/>
      <w:pPr>
        <w:ind w:left="1493" w:hanging="360"/>
      </w:pPr>
      <w:rPr>
        <w:rFonts w:ascii="Symbol" w:hAnsi="Symbol" w:hint="default"/>
      </w:rPr>
    </w:lvl>
    <w:lvl w:ilvl="1" w:tplc="040C0003" w:tentative="1">
      <w:start w:val="1"/>
      <w:numFmt w:val="bullet"/>
      <w:lvlText w:val="o"/>
      <w:lvlJc w:val="left"/>
      <w:pPr>
        <w:ind w:left="2213" w:hanging="360"/>
      </w:pPr>
      <w:rPr>
        <w:rFonts w:ascii="Courier New" w:hAnsi="Courier New"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hint="default"/>
      </w:rPr>
    </w:lvl>
    <w:lvl w:ilvl="8" w:tplc="040C0005" w:tentative="1">
      <w:start w:val="1"/>
      <w:numFmt w:val="bullet"/>
      <w:lvlText w:val=""/>
      <w:lvlJc w:val="left"/>
      <w:pPr>
        <w:ind w:left="7253" w:hanging="360"/>
      </w:pPr>
      <w:rPr>
        <w:rFonts w:ascii="Wingdings" w:hAnsi="Wingdings" w:hint="default"/>
      </w:rPr>
    </w:lvl>
  </w:abstractNum>
  <w:abstractNum w:abstractNumId="3">
    <w:nsid w:val="67A57BBB"/>
    <w:multiLevelType w:val="hybridMultilevel"/>
    <w:tmpl w:val="368C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FC4ECE"/>
    <w:multiLevelType w:val="hybridMultilevel"/>
    <w:tmpl w:val="F1061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9C5BE1"/>
    <w:multiLevelType w:val="hybridMultilevel"/>
    <w:tmpl w:val="9ACE3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compat>
    <w:useFELayout/>
  </w:compat>
  <w:rsids>
    <w:rsidRoot w:val="0030468C"/>
    <w:rsid w:val="0006040A"/>
    <w:rsid w:val="000E6564"/>
    <w:rsid w:val="0030468C"/>
    <w:rsid w:val="0073515D"/>
    <w:rsid w:val="00852F63"/>
    <w:rsid w:val="00C53018"/>
    <w:rsid w:val="00E307DB"/>
    <w:rsid w:val="00F36F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8C"/>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0468C"/>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0468C"/>
    <w:pPr>
      <w:ind w:left="720"/>
      <w:contextualSpacing/>
    </w:pPr>
  </w:style>
  <w:style w:type="paragraph" w:styleId="Textedebulles">
    <w:name w:val="Balloon Text"/>
    <w:basedOn w:val="Normal"/>
    <w:link w:val="TextedebullesCar"/>
    <w:uiPriority w:val="99"/>
    <w:semiHidden/>
    <w:unhideWhenUsed/>
    <w:rsid w:val="0030468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468C"/>
    <w:rPr>
      <w:rFonts w:ascii="Lucida Grande" w:eastAsiaTheme="minorHAnsi" w:hAnsi="Lucida Grande" w:cs="Lucida Grande"/>
      <w:sz w:val="18"/>
      <w:szCs w:val="18"/>
      <w:lang w:eastAsia="en-US"/>
    </w:rPr>
  </w:style>
  <w:style w:type="paragraph" w:styleId="Sansinterligne">
    <w:name w:val="No Spacing"/>
    <w:uiPriority w:val="1"/>
    <w:qFormat/>
    <w:rsid w:val="00852F63"/>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8C"/>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0468C"/>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0468C"/>
    <w:pPr>
      <w:ind w:left="720"/>
      <w:contextualSpacing/>
    </w:pPr>
  </w:style>
  <w:style w:type="paragraph" w:styleId="Textedebulles">
    <w:name w:val="Balloon Text"/>
    <w:basedOn w:val="Normal"/>
    <w:link w:val="TextedebullesCar"/>
    <w:uiPriority w:val="99"/>
    <w:semiHidden/>
    <w:unhideWhenUsed/>
    <w:rsid w:val="0030468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0468C"/>
    <w:rPr>
      <w:rFonts w:ascii="Lucida Grande" w:eastAsiaTheme="minorHAnsi" w:hAnsi="Lucida Grande" w:cs="Lucida Grande"/>
      <w:sz w:val="18"/>
      <w:szCs w:val="18"/>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1283</Words>
  <Characters>7058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CORNET</dc:creator>
  <cp:lastModifiedBy>SERGE SERGE</cp:lastModifiedBy>
  <cp:revision>3</cp:revision>
  <dcterms:created xsi:type="dcterms:W3CDTF">2015-10-21T12:13:00Z</dcterms:created>
  <dcterms:modified xsi:type="dcterms:W3CDTF">2015-10-28T09:18:00Z</dcterms:modified>
</cp:coreProperties>
</file>