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B0B5" w14:textId="77777777" w:rsidR="00EB6788" w:rsidRDefault="00656EA4">
      <w:pPr>
        <w:rPr>
          <w:b/>
          <w:bCs/>
          <w:sz w:val="28"/>
          <w:szCs w:val="28"/>
        </w:rPr>
      </w:pPr>
      <w:r w:rsidRPr="00656EA4">
        <w:rPr>
          <w:b/>
          <w:bCs/>
          <w:sz w:val="28"/>
          <w:szCs w:val="28"/>
        </w:rPr>
        <w:t>Pistes de remédiation en lecture</w:t>
      </w:r>
    </w:p>
    <w:tbl>
      <w:tblPr>
        <w:tblStyle w:val="Grilledutableau"/>
        <w:tblW w:w="15406" w:type="dxa"/>
        <w:tblLook w:val="04A0" w:firstRow="1" w:lastRow="0" w:firstColumn="1" w:lastColumn="0" w:noHBand="0" w:noVBand="1"/>
      </w:tblPr>
      <w:tblGrid>
        <w:gridCol w:w="2005"/>
        <w:gridCol w:w="4240"/>
        <w:gridCol w:w="4960"/>
        <w:gridCol w:w="4201"/>
      </w:tblGrid>
      <w:tr w:rsidR="003B6302" w14:paraId="37264103" w14:textId="6C2FAA2C" w:rsidTr="008C1F2C">
        <w:trPr>
          <w:trHeight w:val="350"/>
        </w:trPr>
        <w:tc>
          <w:tcPr>
            <w:tcW w:w="15406" w:type="dxa"/>
            <w:gridSpan w:val="4"/>
          </w:tcPr>
          <w:p w14:paraId="7BA04A13" w14:textId="7B10B2C6" w:rsidR="003B6302" w:rsidRPr="00DD7D50" w:rsidRDefault="003B6302">
            <w:pPr>
              <w:rPr>
                <w:b/>
                <w:bCs/>
                <w:sz w:val="36"/>
                <w:szCs w:val="36"/>
              </w:rPr>
            </w:pPr>
            <w:r w:rsidRPr="00DD7D50">
              <w:rPr>
                <w:b/>
                <w:bCs/>
                <w:sz w:val="36"/>
                <w:szCs w:val="36"/>
              </w:rPr>
              <w:t>Compréhension</w:t>
            </w:r>
          </w:p>
        </w:tc>
      </w:tr>
      <w:tr w:rsidR="008B59D6" w14:paraId="52643089" w14:textId="77777777" w:rsidTr="00736152">
        <w:trPr>
          <w:trHeight w:val="269"/>
        </w:trPr>
        <w:tc>
          <w:tcPr>
            <w:tcW w:w="2005" w:type="dxa"/>
          </w:tcPr>
          <w:p w14:paraId="632D81EA" w14:textId="77777777" w:rsidR="008B59D6" w:rsidRDefault="008B59D6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14:paraId="63DDCFDD" w14:textId="6764F73B" w:rsidR="008B59D6" w:rsidRPr="008B59D6" w:rsidRDefault="008B5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Difficultés</w:t>
            </w:r>
          </w:p>
        </w:tc>
        <w:tc>
          <w:tcPr>
            <w:tcW w:w="4960" w:type="dxa"/>
          </w:tcPr>
          <w:p w14:paraId="4F7C33AA" w14:textId="31932B0D" w:rsidR="008B59D6" w:rsidRPr="008B59D6" w:rsidRDefault="008B59D6">
            <w:pPr>
              <w:rPr>
                <w:sz w:val="24"/>
                <w:szCs w:val="24"/>
              </w:rPr>
            </w:pPr>
            <w:r w:rsidRPr="008B59D6">
              <w:rPr>
                <w:sz w:val="24"/>
                <w:szCs w:val="24"/>
              </w:rPr>
              <w:t>Remédiations</w:t>
            </w:r>
          </w:p>
        </w:tc>
        <w:tc>
          <w:tcPr>
            <w:tcW w:w="4201" w:type="dxa"/>
          </w:tcPr>
          <w:p w14:paraId="6AD6ED8D" w14:textId="0E2FEED1" w:rsidR="008B59D6" w:rsidRPr="008B59D6" w:rsidRDefault="008B59D6">
            <w:pPr>
              <w:rPr>
                <w:sz w:val="24"/>
                <w:szCs w:val="24"/>
              </w:rPr>
            </w:pPr>
            <w:r w:rsidRPr="008B59D6">
              <w:rPr>
                <w:sz w:val="24"/>
                <w:szCs w:val="24"/>
              </w:rPr>
              <w:t>Supports</w:t>
            </w:r>
          </w:p>
        </w:tc>
      </w:tr>
      <w:tr w:rsidR="00136892" w14:paraId="0B828FFB" w14:textId="4F46B0EA" w:rsidTr="00736152">
        <w:trPr>
          <w:trHeight w:val="269"/>
        </w:trPr>
        <w:tc>
          <w:tcPr>
            <w:tcW w:w="2005" w:type="dxa"/>
            <w:vMerge w:val="restart"/>
            <w:vAlign w:val="center"/>
          </w:tcPr>
          <w:p w14:paraId="5198F0D2" w14:textId="77777777" w:rsidR="00136892" w:rsidRDefault="00136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Culture commune</w:t>
            </w:r>
          </w:p>
        </w:tc>
        <w:tc>
          <w:tcPr>
            <w:tcW w:w="4240" w:type="dxa"/>
            <w:vAlign w:val="center"/>
          </w:tcPr>
          <w:p w14:paraId="735B953B" w14:textId="77777777" w:rsidR="00136892" w:rsidRPr="003B6302" w:rsidRDefault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Contexte culturel fragile</w:t>
            </w:r>
          </w:p>
        </w:tc>
        <w:tc>
          <w:tcPr>
            <w:tcW w:w="4960" w:type="dxa"/>
            <w:vMerge w:val="restart"/>
            <w:vAlign w:val="center"/>
          </w:tcPr>
          <w:p w14:paraId="1672C438" w14:textId="77777777" w:rsidR="00136892" w:rsidRPr="003B6302" w:rsidRDefault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Lectures offertes quotidiennes</w:t>
            </w:r>
          </w:p>
          <w:p w14:paraId="40753B56" w14:textId="77777777" w:rsidR="00136892" w:rsidRPr="003B6302" w:rsidRDefault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Varier les types de textes lus</w:t>
            </w:r>
          </w:p>
          <w:p w14:paraId="4C405818" w14:textId="77777777" w:rsidR="00136892" w:rsidRPr="003B6302" w:rsidRDefault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Amorcer les textes : univers culturel, lexique</w:t>
            </w:r>
          </w:p>
          <w:p w14:paraId="1B78FCAF" w14:textId="62C8DAD9" w:rsidR="00136892" w:rsidRPr="003B6302" w:rsidRDefault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Séances spécifiques de vocabulaire</w:t>
            </w:r>
          </w:p>
        </w:tc>
        <w:tc>
          <w:tcPr>
            <w:tcW w:w="4201" w:type="dxa"/>
            <w:vAlign w:val="center"/>
          </w:tcPr>
          <w:p w14:paraId="423030D8" w14:textId="77777777" w:rsidR="00136892" w:rsidRDefault="00136892" w:rsidP="0073615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4 feuilletons de Muriel SZAC</w:t>
            </w:r>
          </w:p>
          <w:p w14:paraId="65FDDE24" w14:textId="4DCE9354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 w:rsidRPr="00736152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La mythologie grecque en 100 épisodes/ œuvres étudiés ou au programme</w:t>
            </w:r>
          </w:p>
        </w:tc>
      </w:tr>
      <w:tr w:rsidR="00136892" w14:paraId="50EECC39" w14:textId="574002D0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2ADA51D3" w14:textId="77777777" w:rsidR="00136892" w:rsidRDefault="00136892" w:rsidP="0073615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1481C3A0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Connaissances encyclopédiques faibles</w:t>
            </w:r>
          </w:p>
        </w:tc>
        <w:tc>
          <w:tcPr>
            <w:tcW w:w="4960" w:type="dxa"/>
            <w:vMerge/>
            <w:vAlign w:val="center"/>
          </w:tcPr>
          <w:p w14:paraId="513A9EE6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362FBE85" w14:textId="77777777" w:rsidR="00136892" w:rsidRDefault="00136892" w:rsidP="0073615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Romans et les albums de littérature de Jeunesse</w:t>
            </w:r>
          </w:p>
          <w:p w14:paraId="529BBE51" w14:textId="77777777" w:rsidR="00136892" w:rsidRDefault="00136892" w:rsidP="0073615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36152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Textes authentiques de différents genres</w:t>
            </w:r>
          </w:p>
          <w:p w14:paraId="5E87F3A8" w14:textId="4664E3F5" w:rsidR="00136892" w:rsidRDefault="00136892" w:rsidP="00736152">
            <w:pPr>
              <w:rPr>
                <w:rFonts w:cs="Calibri"/>
                <w:color w:val="2F5496" w:themeColor="accent1" w:themeShade="BF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Ouvrages variés (BCD)</w:t>
            </w:r>
            <w:r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 </w:t>
            </w: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Œuvres littéraires, Imagiers</w:t>
            </w:r>
            <w:r>
              <w:rPr>
                <w:rFonts w:cs="Calibri"/>
                <w:color w:val="2F5496" w:themeColor="accent1" w:themeShade="BF"/>
                <w:sz w:val="20"/>
                <w:szCs w:val="20"/>
              </w:rPr>
              <w:t>, albums</w:t>
            </w:r>
          </w:p>
          <w:p w14:paraId="4DB8C971" w14:textId="04D889B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Affichages de champs lexicaux (corolle lexicale)</w:t>
            </w:r>
          </w:p>
        </w:tc>
      </w:tr>
      <w:tr w:rsidR="00136892" w14:paraId="08CE6B9C" w14:textId="4514D2C3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741D8B68" w14:textId="77777777" w:rsidR="00136892" w:rsidRDefault="00136892" w:rsidP="0073615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2C7A19C8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Peu de contacts avec la littérature</w:t>
            </w:r>
          </w:p>
        </w:tc>
        <w:tc>
          <w:tcPr>
            <w:tcW w:w="4960" w:type="dxa"/>
            <w:vMerge/>
            <w:vAlign w:val="center"/>
          </w:tcPr>
          <w:p w14:paraId="633BD104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4AE64D18" w14:textId="0606748C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Théâtre</w:t>
            </w:r>
          </w:p>
        </w:tc>
      </w:tr>
      <w:tr w:rsidR="00136892" w14:paraId="683249CF" w14:textId="77777777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30F42A3A" w14:textId="77777777" w:rsidR="00136892" w:rsidRDefault="00136892" w:rsidP="0073615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2204C917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2CA33EEA" w14:textId="7A1400B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élèves moins bons lecteurs peuvent se référer aux fiches et connaître l’histoire sans avoir lu l’album intégralement</w:t>
            </w:r>
          </w:p>
        </w:tc>
        <w:tc>
          <w:tcPr>
            <w:tcW w:w="4201" w:type="dxa"/>
            <w:vAlign w:val="center"/>
          </w:tcPr>
          <w:p w14:paraId="0DB15C65" w14:textId="6C6C6839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Les contes traditionnels disponibles en classe avec des fiches d’autonomie pour aller chercher des informations dans le </w:t>
            </w:r>
            <w:proofErr w:type="gramStart"/>
            <w:r>
              <w:rPr>
                <w:color w:val="FF0000"/>
                <w:sz w:val="20"/>
                <w:szCs w:val="20"/>
              </w:rPr>
              <w:t>livre  et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créer une banque d’informations des contes traditionnels et même pour aller plus loin, une fiche réalisée pour chaque conte par les élèves</w:t>
            </w:r>
          </w:p>
        </w:tc>
      </w:tr>
      <w:tr w:rsidR="00136892" w14:paraId="34E7F3BF" w14:textId="77777777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67B9DD29" w14:textId="77777777" w:rsidR="00136892" w:rsidRDefault="00136892" w:rsidP="0073615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60665A04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5198296A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557998CE" w14:textId="6367E8CA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contes détournés</w:t>
            </w:r>
          </w:p>
        </w:tc>
      </w:tr>
      <w:tr w:rsidR="00136892" w14:paraId="11615258" w14:textId="77777777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6F731480" w14:textId="77777777" w:rsidR="00136892" w:rsidRDefault="00136892" w:rsidP="0073615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2CE660B9" w14:textId="77777777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1D19542E" w14:textId="4BCBEDBA" w:rsidR="00136892" w:rsidRPr="003B6302" w:rsidRDefault="00136892" w:rsidP="00736152">
            <w:pPr>
              <w:rPr>
                <w:rFonts w:cstheme="minorHAnsi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Aide au choix du livre en BCD</w:t>
            </w:r>
          </w:p>
        </w:tc>
        <w:tc>
          <w:tcPr>
            <w:tcW w:w="4201" w:type="dxa"/>
            <w:vAlign w:val="center"/>
          </w:tcPr>
          <w:p w14:paraId="6FBF1A50" w14:textId="696BDE78" w:rsidR="00136892" w:rsidRDefault="00136892" w:rsidP="00736152">
            <w:pPr>
              <w:rPr>
                <w:color w:val="FF0000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Documentaliste/bibliothécaire</w:t>
            </w:r>
          </w:p>
        </w:tc>
      </w:tr>
      <w:tr w:rsidR="00136892" w14:paraId="617FD790" w14:textId="77777777" w:rsidTr="00C40D45">
        <w:trPr>
          <w:trHeight w:val="283"/>
        </w:trPr>
        <w:tc>
          <w:tcPr>
            <w:tcW w:w="2005" w:type="dxa"/>
            <w:vMerge/>
            <w:vAlign w:val="center"/>
          </w:tcPr>
          <w:p w14:paraId="6F95C56E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5FC3F7CF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7C069AEF" w14:textId="115621E4" w:rsidR="00136892" w:rsidRPr="00867BD4" w:rsidRDefault="00136892" w:rsidP="00136892">
            <w:pPr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867BD4"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Jeux de vocabulaire (ex : </w:t>
            </w:r>
            <w:proofErr w:type="spellStart"/>
            <w:r w:rsidRPr="00867BD4">
              <w:rPr>
                <w:rFonts w:cs="Calibri"/>
                <w:color w:val="2F5496" w:themeColor="accent1" w:themeShade="BF"/>
                <w:sz w:val="20"/>
                <w:szCs w:val="20"/>
              </w:rPr>
              <w:t>Vocagingo</w:t>
            </w:r>
            <w:proofErr w:type="spellEnd"/>
            <w:r w:rsidRPr="00867BD4">
              <w:rPr>
                <w:rFonts w:cs="Calibri"/>
                <w:color w:val="2F5496" w:themeColor="accent1" w:themeShade="BF"/>
                <w:sz w:val="20"/>
                <w:szCs w:val="20"/>
              </w:rPr>
              <w:t>)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472C1C1" w14:textId="267CFEA6" w:rsidR="00136892" w:rsidRPr="000A146C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gramStart"/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L’ «</w:t>
            </w:r>
            <w:proofErr w:type="gramEnd"/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 arbre à mots »</w:t>
            </w:r>
          </w:p>
        </w:tc>
      </w:tr>
      <w:tr w:rsidR="00136892" w14:paraId="6A20D236" w14:textId="227DD0D4" w:rsidTr="00736152">
        <w:trPr>
          <w:trHeight w:val="266"/>
        </w:trPr>
        <w:tc>
          <w:tcPr>
            <w:tcW w:w="2005" w:type="dxa"/>
            <w:vMerge w:val="restart"/>
            <w:vAlign w:val="center"/>
          </w:tcPr>
          <w:p w14:paraId="4570852E" w14:textId="77777777" w:rsidR="00136892" w:rsidRDefault="00136892" w:rsidP="00136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Stratégies de lecture</w:t>
            </w:r>
          </w:p>
        </w:tc>
        <w:tc>
          <w:tcPr>
            <w:tcW w:w="4240" w:type="dxa"/>
            <w:vAlign w:val="center"/>
          </w:tcPr>
          <w:p w14:paraId="08B220F0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Lecture linéaire</w:t>
            </w:r>
          </w:p>
        </w:tc>
        <w:tc>
          <w:tcPr>
            <w:tcW w:w="4960" w:type="dxa"/>
            <w:vMerge w:val="restart"/>
            <w:vAlign w:val="center"/>
          </w:tcPr>
          <w:p w14:paraId="0DA3A275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Mettre en évidence la ponctuation</w:t>
            </w:r>
          </w:p>
          <w:p w14:paraId="2EBFF968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Surligner les groupes de sens</w:t>
            </w:r>
          </w:p>
          <w:p w14:paraId="69857B23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Lecture par groupes de sens identifiés</w:t>
            </w:r>
          </w:p>
          <w:p w14:paraId="34A647E4" w14:textId="45BD8883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Travail spécifique de la fluence</w:t>
            </w:r>
          </w:p>
        </w:tc>
        <w:tc>
          <w:tcPr>
            <w:tcW w:w="4201" w:type="dxa"/>
            <w:vAlign w:val="center"/>
          </w:tcPr>
          <w:p w14:paraId="0D33D04D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 manuel Cléo</w:t>
            </w:r>
          </w:p>
          <w:p w14:paraId="52337DE5" w14:textId="77777777" w:rsidR="00136892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Relecture des dictés quotidiennes</w:t>
            </w:r>
          </w:p>
          <w:p w14:paraId="4FC10C63" w14:textId="4EB5C3A5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Courts textes adaptés au niveau des élèves</w:t>
            </w:r>
          </w:p>
        </w:tc>
      </w:tr>
      <w:tr w:rsidR="00136892" w14:paraId="2CE840DA" w14:textId="3C0514B9" w:rsidTr="00736152">
        <w:trPr>
          <w:trHeight w:val="257"/>
        </w:trPr>
        <w:tc>
          <w:tcPr>
            <w:tcW w:w="2005" w:type="dxa"/>
            <w:vMerge/>
            <w:vAlign w:val="center"/>
          </w:tcPr>
          <w:p w14:paraId="082D6066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4FD7E96B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Pas de prise en compte de la ponctuation</w:t>
            </w:r>
          </w:p>
        </w:tc>
        <w:tc>
          <w:tcPr>
            <w:tcW w:w="4960" w:type="dxa"/>
            <w:vMerge/>
            <w:vAlign w:val="center"/>
          </w:tcPr>
          <w:p w14:paraId="292288D6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057FB46C" w14:textId="2F7D5AAB" w:rsidR="00136892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Textes non ponctués</w:t>
            </w:r>
          </w:p>
          <w:p w14:paraId="770C20DE" w14:textId="2755E12E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Textes non ponctués à segmenter</w:t>
            </w:r>
          </w:p>
          <w:p w14:paraId="2E608C44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Exercices sur Trouver le sens d’un mot grâce au contexte </w:t>
            </w:r>
          </w:p>
          <w:p w14:paraId="49D29A7C" w14:textId="77777777" w:rsidR="00136892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Travail du rythme de la phrase</w:t>
            </w:r>
          </w:p>
          <w:p w14:paraId="29F8C01F" w14:textId="331FB7A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Divers contes</w:t>
            </w:r>
            <w:r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récits </w:t>
            </w: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 adaptés</w:t>
            </w:r>
            <w:proofErr w:type="gramEnd"/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 au niveau des élèves</w:t>
            </w:r>
          </w:p>
        </w:tc>
      </w:tr>
      <w:tr w:rsidR="00136892" w14:paraId="7FAF2C17" w14:textId="46EF209B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650CAD21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325AC533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Groupes de sens peu pris en compte</w:t>
            </w:r>
          </w:p>
        </w:tc>
        <w:tc>
          <w:tcPr>
            <w:tcW w:w="4960" w:type="dxa"/>
            <w:vMerge/>
            <w:vAlign w:val="center"/>
          </w:tcPr>
          <w:p w14:paraId="5F4BF2D1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5EC2AEC0" w14:textId="19401DCE" w:rsidR="00136892" w:rsidRPr="00736152" w:rsidRDefault="00136892" w:rsidP="00136892">
            <w:pPr>
              <w:rPr>
                <w:rFonts w:cstheme="minorHAnsi"/>
                <w:color w:val="538135" w:themeColor="accent6" w:themeShade="BF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Textes avec des mots reliés (avec ou sans TICE)</w:t>
            </w:r>
          </w:p>
        </w:tc>
      </w:tr>
      <w:tr w:rsidR="00136892" w14:paraId="06B3B3F9" w14:textId="77777777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54B5D2D2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5E659D7A" w14:textId="68C85936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Temps d’attention limité</w:t>
            </w:r>
          </w:p>
        </w:tc>
        <w:tc>
          <w:tcPr>
            <w:tcW w:w="4960" w:type="dxa"/>
            <w:vAlign w:val="center"/>
          </w:tcPr>
          <w:p w14:paraId="7B572D54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5A72F1D1" w14:textId="0EB7B939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D.E.C.L.I.C</w:t>
            </w:r>
          </w:p>
        </w:tc>
      </w:tr>
      <w:tr w:rsidR="00136892" w14:paraId="5A0CCDF4" w14:textId="77777777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4D153872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42234980" w14:textId="69135776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Les yeux et le texte</w:t>
            </w:r>
          </w:p>
        </w:tc>
        <w:tc>
          <w:tcPr>
            <w:tcW w:w="4960" w:type="dxa"/>
            <w:vAlign w:val="center"/>
          </w:tcPr>
          <w:p w14:paraId="5EC79667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29E1E4A1" w14:textId="263A8B8D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Travailler des textes avec « plus de maitre que de classe »</w:t>
            </w:r>
          </w:p>
        </w:tc>
      </w:tr>
      <w:tr w:rsidR="00136892" w14:paraId="78263B16" w14:textId="77777777" w:rsidTr="002828D1">
        <w:trPr>
          <w:trHeight w:val="283"/>
        </w:trPr>
        <w:tc>
          <w:tcPr>
            <w:tcW w:w="2005" w:type="dxa"/>
            <w:vMerge/>
            <w:vAlign w:val="center"/>
          </w:tcPr>
          <w:p w14:paraId="0DAB7563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05C3177B" w14:textId="09A90E3B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Intonation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8688C39" w14:textId="35939F30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Théâtralisation – Lecture à voix haute (intention)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DD82592" w14:textId="7B4EBF4A" w:rsidR="00136892" w:rsidRPr="000A146C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Différents récits</w:t>
            </w:r>
          </w:p>
        </w:tc>
      </w:tr>
      <w:tr w:rsidR="00136892" w14:paraId="535697EC" w14:textId="77777777" w:rsidTr="002828D1">
        <w:trPr>
          <w:trHeight w:val="283"/>
        </w:trPr>
        <w:tc>
          <w:tcPr>
            <w:tcW w:w="2005" w:type="dxa"/>
            <w:vMerge/>
            <w:vAlign w:val="center"/>
          </w:tcPr>
          <w:p w14:paraId="6F867846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14C1120A" w14:textId="170D6555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Représentation mentale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DDDBFCE" w14:textId="48B09B1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F142830" w14:textId="77777777" w:rsidR="00136892" w:rsidRPr="000A146C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136892" w14:paraId="2E056946" w14:textId="77777777" w:rsidTr="002828D1">
        <w:trPr>
          <w:trHeight w:val="283"/>
        </w:trPr>
        <w:tc>
          <w:tcPr>
            <w:tcW w:w="2005" w:type="dxa"/>
            <w:vMerge/>
            <w:vAlign w:val="center"/>
          </w:tcPr>
          <w:p w14:paraId="0CA57AFF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14:paraId="436C3991" w14:textId="77777777" w:rsidR="00136892" w:rsidRPr="000745AF" w:rsidRDefault="00136892" w:rsidP="00136892">
            <w:pPr>
              <w:rPr>
                <w:rFonts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9E93A9B" w14:textId="01FBBE55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136892">
              <w:rPr>
                <w:rFonts w:cstheme="minorHAnsi"/>
                <w:color w:val="833C0B" w:themeColor="accent2" w:themeShade="80"/>
                <w:sz w:val="20"/>
                <w:szCs w:val="20"/>
              </w:rPr>
              <w:t>Enregistrements audios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37A185C" w14:textId="77777777" w:rsidR="00136892" w:rsidRPr="000A146C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136892" w14:paraId="6AA7EF84" w14:textId="2293E1D2" w:rsidTr="00736152">
        <w:trPr>
          <w:trHeight w:val="321"/>
        </w:trPr>
        <w:tc>
          <w:tcPr>
            <w:tcW w:w="2005" w:type="dxa"/>
            <w:vMerge w:val="restart"/>
            <w:vAlign w:val="center"/>
          </w:tcPr>
          <w:p w14:paraId="6AF75777" w14:textId="77777777" w:rsidR="00136892" w:rsidRDefault="00136892" w:rsidP="00136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Implicite</w:t>
            </w:r>
          </w:p>
        </w:tc>
        <w:tc>
          <w:tcPr>
            <w:tcW w:w="4240" w:type="dxa"/>
            <w:vAlign w:val="center"/>
          </w:tcPr>
          <w:p w14:paraId="2DE3669F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Pas de repérage de la chaine anaphorique</w:t>
            </w:r>
          </w:p>
        </w:tc>
        <w:tc>
          <w:tcPr>
            <w:tcW w:w="4960" w:type="dxa"/>
            <w:vMerge w:val="restart"/>
            <w:vAlign w:val="center"/>
          </w:tcPr>
          <w:p w14:paraId="07E4AC05" w14:textId="151B9689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Activités décrochées sur les substituts nominaux et les connecteurs e lien avec l’EDL</w:t>
            </w:r>
          </w:p>
        </w:tc>
        <w:tc>
          <w:tcPr>
            <w:tcW w:w="4201" w:type="dxa"/>
            <w:vAlign w:val="center"/>
          </w:tcPr>
          <w:p w14:paraId="6990349B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Inspecteur </w:t>
            </w:r>
            <w:proofErr w:type="spellStart"/>
            <w:r>
              <w:rPr>
                <w:color w:val="FF0000"/>
                <w:sz w:val="20"/>
                <w:szCs w:val="20"/>
              </w:rPr>
              <w:t>Lafouine</w:t>
            </w:r>
            <w:proofErr w:type="spellEnd"/>
          </w:p>
          <w:p w14:paraId="663D944F" w14:textId="77777777" w:rsidR="00136892" w:rsidRDefault="00136892" w:rsidP="00136892">
            <w:pPr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Je lis et je comprends </w:t>
            </w:r>
          </w:p>
          <w:p w14:paraId="1E4AF907" w14:textId="636F7E34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Etiquettes</w:t>
            </w:r>
            <w:proofErr w:type="spellEnd"/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 xml:space="preserve"> « référent » </w:t>
            </w:r>
          </w:p>
        </w:tc>
      </w:tr>
      <w:tr w:rsidR="00136892" w14:paraId="6F785E08" w14:textId="3D403CD0" w:rsidTr="00736152">
        <w:trPr>
          <w:trHeight w:val="283"/>
        </w:trPr>
        <w:tc>
          <w:tcPr>
            <w:tcW w:w="2005" w:type="dxa"/>
            <w:vMerge/>
            <w:vAlign w:val="center"/>
          </w:tcPr>
          <w:p w14:paraId="479C8188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5A220B6E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Connecteurs non identifiés</w:t>
            </w:r>
          </w:p>
        </w:tc>
        <w:tc>
          <w:tcPr>
            <w:tcW w:w="4960" w:type="dxa"/>
            <w:vMerge/>
            <w:vAlign w:val="center"/>
          </w:tcPr>
          <w:p w14:paraId="671D70AC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6469C509" w14:textId="3D7DCB42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1ere partie de Cléo</w:t>
            </w:r>
          </w:p>
        </w:tc>
      </w:tr>
      <w:tr w:rsidR="00136892" w14:paraId="310285C0" w14:textId="48B8E36E" w:rsidTr="00736152">
        <w:trPr>
          <w:trHeight w:val="262"/>
        </w:trPr>
        <w:tc>
          <w:tcPr>
            <w:tcW w:w="2005" w:type="dxa"/>
            <w:vMerge/>
            <w:vAlign w:val="center"/>
          </w:tcPr>
          <w:p w14:paraId="77BC5A28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0FDB971D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Difficulté à inférer</w:t>
            </w:r>
          </w:p>
        </w:tc>
        <w:tc>
          <w:tcPr>
            <w:tcW w:w="4960" w:type="dxa"/>
            <w:vAlign w:val="center"/>
          </w:tcPr>
          <w:p w14:paraId="7640DA45" w14:textId="57D79E1A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Blagues, devinettes, entrainement quotidiens et ritualisé à la réalisation d’inférences.</w:t>
            </w:r>
          </w:p>
        </w:tc>
        <w:tc>
          <w:tcPr>
            <w:tcW w:w="4201" w:type="dxa"/>
            <w:vAlign w:val="center"/>
          </w:tcPr>
          <w:p w14:paraId="3806AE36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Lector</w:t>
            </w:r>
            <w:proofErr w:type="spellEnd"/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Lectrix</w:t>
            </w:r>
            <w:proofErr w:type="spellEnd"/>
          </w:p>
          <w:p w14:paraId="77F9C1C8" w14:textId="73562DF9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745AF">
              <w:rPr>
                <w:rFonts w:cs="Calibri"/>
                <w:color w:val="2F5496" w:themeColor="accent1" w:themeShade="BF"/>
                <w:sz w:val="20"/>
                <w:szCs w:val="20"/>
              </w:rPr>
              <w:t>Fichier Cloé</w:t>
            </w:r>
          </w:p>
        </w:tc>
      </w:tr>
      <w:tr w:rsidR="00136892" w14:paraId="343998B0" w14:textId="438C1928" w:rsidTr="00736152">
        <w:trPr>
          <w:trHeight w:val="313"/>
        </w:trPr>
        <w:tc>
          <w:tcPr>
            <w:tcW w:w="2005" w:type="dxa"/>
            <w:vMerge/>
            <w:vAlign w:val="center"/>
          </w:tcPr>
          <w:p w14:paraId="48D1D3D1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34B7D431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Pas de repérage des indices morphosyntaxiques</w:t>
            </w:r>
          </w:p>
        </w:tc>
        <w:tc>
          <w:tcPr>
            <w:tcW w:w="4960" w:type="dxa"/>
            <w:vAlign w:val="center"/>
          </w:tcPr>
          <w:p w14:paraId="0B54186C" w14:textId="75EBD8AD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Séances d’EDL spécifiques, rituels EDL</w:t>
            </w:r>
          </w:p>
        </w:tc>
        <w:tc>
          <w:tcPr>
            <w:tcW w:w="4201" w:type="dxa"/>
            <w:vAlign w:val="center"/>
          </w:tcPr>
          <w:p w14:paraId="70ADE4FA" w14:textId="1C802055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 xml:space="preserve">Livret « les rituels en </w:t>
            </w:r>
            <w:proofErr w:type="spellStart"/>
            <w:r w:rsidRPr="003B6302">
              <w:rPr>
                <w:rFonts w:cstheme="minorHAnsi"/>
                <w:sz w:val="20"/>
                <w:szCs w:val="20"/>
              </w:rPr>
              <w:t>Etude</w:t>
            </w:r>
            <w:proofErr w:type="spellEnd"/>
            <w:r w:rsidRPr="003B6302">
              <w:rPr>
                <w:rFonts w:cstheme="minorHAnsi"/>
                <w:sz w:val="20"/>
                <w:szCs w:val="20"/>
              </w:rPr>
              <w:t xml:space="preserve"> de la langue</w:t>
            </w:r>
            <w:r>
              <w:rPr>
                <w:rFonts w:cstheme="minorHAnsi"/>
                <w:sz w:val="20"/>
                <w:szCs w:val="20"/>
              </w:rPr>
              <w:t> »</w:t>
            </w:r>
          </w:p>
        </w:tc>
      </w:tr>
      <w:tr w:rsidR="00136892" w14:paraId="45E2EF2F" w14:textId="77777777" w:rsidTr="00736152">
        <w:trPr>
          <w:trHeight w:val="321"/>
        </w:trPr>
        <w:tc>
          <w:tcPr>
            <w:tcW w:w="2005" w:type="dxa"/>
            <w:vMerge/>
            <w:vAlign w:val="center"/>
          </w:tcPr>
          <w:p w14:paraId="5079C54B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6A92AC34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17E53E8E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1E83F86A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Méthode PICOT en grammaire</w:t>
            </w:r>
          </w:p>
          <w:p w14:paraId="509D8422" w14:textId="47DDCA88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Interligne EDL</w:t>
            </w:r>
          </w:p>
        </w:tc>
      </w:tr>
      <w:tr w:rsidR="00136892" w14:paraId="07B46925" w14:textId="77777777" w:rsidTr="00736152">
        <w:trPr>
          <w:trHeight w:val="345"/>
        </w:trPr>
        <w:tc>
          <w:tcPr>
            <w:tcW w:w="2005" w:type="dxa"/>
            <w:vMerge/>
            <w:vAlign w:val="center"/>
          </w:tcPr>
          <w:p w14:paraId="2DFEA7F4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1D7E193A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099A9AE5" w14:textId="1A90EF6E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APC avec groupe de besoin</w:t>
            </w:r>
          </w:p>
        </w:tc>
        <w:tc>
          <w:tcPr>
            <w:tcW w:w="4201" w:type="dxa"/>
            <w:vAlign w:val="center"/>
          </w:tcPr>
          <w:p w14:paraId="0B34E7FC" w14:textId="453E0F06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Avec des jeux d’implicites</w:t>
            </w:r>
          </w:p>
        </w:tc>
      </w:tr>
      <w:tr w:rsidR="00136892" w14:paraId="108ECE3D" w14:textId="12F4BF7D" w:rsidTr="00736152">
        <w:trPr>
          <w:trHeight w:val="564"/>
        </w:trPr>
        <w:tc>
          <w:tcPr>
            <w:tcW w:w="2005" w:type="dxa"/>
            <w:vMerge w:val="restart"/>
            <w:vAlign w:val="center"/>
          </w:tcPr>
          <w:p w14:paraId="3F38C906" w14:textId="77777777" w:rsidR="00136892" w:rsidRDefault="00136892" w:rsidP="00136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Stratégies de compréhension</w:t>
            </w:r>
          </w:p>
        </w:tc>
        <w:tc>
          <w:tcPr>
            <w:tcW w:w="4240" w:type="dxa"/>
            <w:vAlign w:val="center"/>
          </w:tcPr>
          <w:p w14:paraId="0084BFEE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Pas de contrôle de la compréhension en cours de lecture</w:t>
            </w:r>
          </w:p>
        </w:tc>
        <w:tc>
          <w:tcPr>
            <w:tcW w:w="4960" w:type="dxa"/>
            <w:vAlign w:val="center"/>
          </w:tcPr>
          <w:p w14:paraId="6342DFB1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Auto-réguler sa lecture</w:t>
            </w:r>
          </w:p>
          <w:p w14:paraId="07712A57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Savoir comment restaurer la compréhension : prendre appui sur le contexte, inférer, déduire, …)</w:t>
            </w:r>
          </w:p>
          <w:p w14:paraId="38304505" w14:textId="77777777" w:rsidR="0013689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Repérer l’idée essentielle d’un texte</w:t>
            </w:r>
          </w:p>
          <w:p w14:paraId="7FC3AB47" w14:textId="57EEA631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Identifier qui parle, les dialogues, la narration (on peut utiliser le surligneur de couleur différente)</w:t>
            </w:r>
          </w:p>
        </w:tc>
        <w:tc>
          <w:tcPr>
            <w:tcW w:w="4201" w:type="dxa"/>
            <w:vAlign w:val="center"/>
          </w:tcPr>
          <w:p w14:paraId="2C9AA8D3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Temps de lecture personnelle</w:t>
            </w:r>
          </w:p>
          <w:p w14:paraId="5262ECDC" w14:textId="694F915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136892">
              <w:rPr>
                <w:color w:val="833C0B" w:themeColor="accent2" w:themeShade="80"/>
                <w:sz w:val="20"/>
                <w:szCs w:val="20"/>
              </w:rPr>
              <w:t>Mise en voix</w:t>
            </w:r>
          </w:p>
        </w:tc>
      </w:tr>
      <w:tr w:rsidR="00136892" w14:paraId="3E28DAA9" w14:textId="38259495" w:rsidTr="00736152">
        <w:trPr>
          <w:trHeight w:val="269"/>
        </w:trPr>
        <w:tc>
          <w:tcPr>
            <w:tcW w:w="2005" w:type="dxa"/>
            <w:vMerge/>
            <w:vAlign w:val="center"/>
          </w:tcPr>
          <w:p w14:paraId="518ABA86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522281A4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Pas d’intention de lecture</w:t>
            </w:r>
          </w:p>
        </w:tc>
        <w:tc>
          <w:tcPr>
            <w:tcW w:w="4960" w:type="dxa"/>
            <w:vAlign w:val="center"/>
          </w:tcPr>
          <w:p w14:paraId="10D45E0D" w14:textId="0B0699F2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Identifier </w:t>
            </w:r>
            <w:proofErr w:type="spellStart"/>
            <w:proofErr w:type="gramStart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le.s</w:t>
            </w:r>
            <w:proofErr w:type="spellEnd"/>
            <w:proofErr w:type="gramEnd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proofErr w:type="spellStart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centre.s</w:t>
            </w:r>
            <w:proofErr w:type="spellEnd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d’</w:t>
            </w:r>
            <w:proofErr w:type="spellStart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interêt</w:t>
            </w:r>
            <w:proofErr w:type="spellEnd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de l’enfant / Aide de la Documentaliste</w:t>
            </w:r>
          </w:p>
        </w:tc>
        <w:tc>
          <w:tcPr>
            <w:tcW w:w="4201" w:type="dxa"/>
            <w:vAlign w:val="center"/>
          </w:tcPr>
          <w:p w14:paraId="14C1D7BF" w14:textId="174CA1AC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Livres / albums/ </w:t>
            </w:r>
            <w:proofErr w:type="spellStart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>etc</w:t>
            </w:r>
            <w:proofErr w:type="spellEnd"/>
            <w:r w:rsidRPr="000A146C">
              <w:rPr>
                <w:rFonts w:cstheme="minorHAnsi"/>
                <w:b/>
                <w:bCs/>
                <w:color w:val="538135" w:themeColor="accent6" w:themeShade="BF"/>
                <w:sz w:val="20"/>
                <w:szCs w:val="20"/>
              </w:rPr>
              <w:t xml:space="preserve"> au choix de l’élève</w:t>
            </w:r>
          </w:p>
        </w:tc>
      </w:tr>
      <w:tr w:rsidR="00136892" w14:paraId="30EDE78D" w14:textId="6B7E7607" w:rsidTr="00736152">
        <w:trPr>
          <w:trHeight w:val="810"/>
        </w:trPr>
        <w:tc>
          <w:tcPr>
            <w:tcW w:w="2005" w:type="dxa"/>
            <w:vMerge/>
            <w:vAlign w:val="center"/>
          </w:tcPr>
          <w:p w14:paraId="4059593D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3EC15CD1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302">
              <w:rPr>
                <w:rFonts w:cstheme="minorHAnsi"/>
                <w:sz w:val="20"/>
                <w:szCs w:val="20"/>
              </w:rPr>
              <w:t>Etablir</w:t>
            </w:r>
            <w:proofErr w:type="spellEnd"/>
            <w:r w:rsidRPr="003B6302">
              <w:rPr>
                <w:rFonts w:cstheme="minorHAnsi"/>
                <w:sz w:val="20"/>
                <w:szCs w:val="20"/>
              </w:rPr>
              <w:t xml:space="preserve"> des liens entre les personnages, entre les personnages et les évènements</w:t>
            </w:r>
          </w:p>
        </w:tc>
        <w:tc>
          <w:tcPr>
            <w:tcW w:w="4960" w:type="dxa"/>
            <w:vAlign w:val="center"/>
          </w:tcPr>
          <w:p w14:paraId="3E568FC3" w14:textId="4676CD93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Identifier 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6302">
              <w:rPr>
                <w:rFonts w:cstheme="minorHAnsi"/>
                <w:sz w:val="20"/>
                <w:szCs w:val="20"/>
              </w:rPr>
              <w:t>personnages</w:t>
            </w:r>
          </w:p>
          <w:p w14:paraId="6F9958EF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Repérer les chaînes anaphoriques</w:t>
            </w:r>
          </w:p>
          <w:p w14:paraId="79D4D43F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Repérer la chronologie des évènements : schéma</w:t>
            </w:r>
          </w:p>
          <w:p w14:paraId="1B1287BC" w14:textId="157FBC41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Repérer les connecteurs temporels, causals, …</w:t>
            </w:r>
          </w:p>
        </w:tc>
        <w:tc>
          <w:tcPr>
            <w:tcW w:w="4201" w:type="dxa"/>
            <w:vAlign w:val="center"/>
          </w:tcPr>
          <w:p w14:paraId="6D82DADC" w14:textId="31765FAE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Je lis / Je comprends</w:t>
            </w:r>
          </w:p>
        </w:tc>
      </w:tr>
      <w:tr w:rsidR="00136892" w14:paraId="61444B88" w14:textId="63A4E81B" w:rsidTr="00736152">
        <w:trPr>
          <w:trHeight w:val="538"/>
        </w:trPr>
        <w:tc>
          <w:tcPr>
            <w:tcW w:w="2005" w:type="dxa"/>
            <w:vMerge/>
            <w:vAlign w:val="center"/>
          </w:tcPr>
          <w:p w14:paraId="116E7956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56318F04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Pas de « racontage » : restituer un récit, résumer, reformuler</w:t>
            </w:r>
          </w:p>
        </w:tc>
        <w:tc>
          <w:tcPr>
            <w:tcW w:w="4960" w:type="dxa"/>
            <w:vAlign w:val="center"/>
          </w:tcPr>
          <w:p w14:paraId="6756CCD8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Se faire une représentation mentale du texte.</w:t>
            </w:r>
          </w:p>
          <w:p w14:paraId="1CBDEBEA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>Résumer un texte</w:t>
            </w:r>
          </w:p>
          <w:p w14:paraId="46485DD3" w14:textId="27CCE9A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 w:rsidRPr="003B6302">
              <w:rPr>
                <w:rFonts w:cstheme="minorHAnsi"/>
                <w:sz w:val="20"/>
                <w:szCs w:val="20"/>
              </w:rPr>
              <w:t xml:space="preserve">Restituer un texte à partir de notes </w:t>
            </w:r>
          </w:p>
        </w:tc>
        <w:tc>
          <w:tcPr>
            <w:tcW w:w="4201" w:type="dxa"/>
            <w:vAlign w:val="center"/>
          </w:tcPr>
          <w:p w14:paraId="12E2C2C3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Exercices / Jeux pour Résumer à l’oral et à l’écrit</w:t>
            </w:r>
          </w:p>
          <w:p w14:paraId="20566EDC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Une affiche avec les informations triées : lieux, personnages, les évènements importants...</w:t>
            </w:r>
          </w:p>
          <w:p w14:paraId="2EE7B45B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Travail sur la temporalité / Images séquentielles</w:t>
            </w:r>
          </w:p>
          <w:p w14:paraId="23E95F57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  <w:p w14:paraId="48692D7F" w14:textId="108B3A4D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3B6302">
              <w:rPr>
                <w:rFonts w:cstheme="minorHAnsi"/>
                <w:sz w:val="20"/>
                <w:szCs w:val="20"/>
              </w:rPr>
              <w:t>estitution de récit</w:t>
            </w:r>
          </w:p>
        </w:tc>
      </w:tr>
      <w:tr w:rsidR="00136892" w14:paraId="02F2E657" w14:textId="77777777" w:rsidTr="00736152">
        <w:trPr>
          <w:trHeight w:val="353"/>
        </w:trPr>
        <w:tc>
          <w:tcPr>
            <w:tcW w:w="2005" w:type="dxa"/>
            <w:vMerge/>
            <w:vAlign w:val="center"/>
          </w:tcPr>
          <w:p w14:paraId="7AED0222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7177C25E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39149249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Exercices / Jeux pour Résumer à l’oral et à l’écrit</w:t>
            </w:r>
          </w:p>
          <w:p w14:paraId="653CCA51" w14:textId="77777777" w:rsidR="00136892" w:rsidRDefault="00136892" w:rsidP="0013689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Une affiche avec les informations triées : lieux, personnages, les évènements importants...</w:t>
            </w:r>
          </w:p>
          <w:p w14:paraId="1A687F45" w14:textId="682A706C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Travail sur la temporalité / Images séquentielles</w:t>
            </w:r>
          </w:p>
        </w:tc>
        <w:tc>
          <w:tcPr>
            <w:tcW w:w="4201" w:type="dxa"/>
            <w:vAlign w:val="center"/>
          </w:tcPr>
          <w:p w14:paraId="35E73BEE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6892" w14:paraId="14A84487" w14:textId="77777777" w:rsidTr="00736152">
        <w:trPr>
          <w:trHeight w:val="353"/>
        </w:trPr>
        <w:tc>
          <w:tcPr>
            <w:tcW w:w="2005" w:type="dxa"/>
            <w:vMerge/>
            <w:vAlign w:val="center"/>
          </w:tcPr>
          <w:p w14:paraId="45BD504F" w14:textId="77777777" w:rsidR="00136892" w:rsidRDefault="00136892" w:rsidP="00136892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  <w:vAlign w:val="center"/>
          </w:tcPr>
          <w:p w14:paraId="0ABEB11B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0" w:type="dxa"/>
            <w:vAlign w:val="center"/>
          </w:tcPr>
          <w:p w14:paraId="509D1A72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vAlign w:val="center"/>
          </w:tcPr>
          <w:p w14:paraId="360C65C0" w14:textId="77777777" w:rsidR="00136892" w:rsidRPr="003B6302" w:rsidRDefault="00136892" w:rsidP="0013689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9570AA" w14:textId="36154AF4" w:rsidR="00656EA4" w:rsidRDefault="00656EA4">
      <w:pPr>
        <w:rPr>
          <w:sz w:val="28"/>
          <w:szCs w:val="28"/>
        </w:rPr>
      </w:pPr>
    </w:p>
    <w:p w14:paraId="69E93579" w14:textId="3ACAC1C4" w:rsidR="00136892" w:rsidRDefault="00136892">
      <w:pPr>
        <w:rPr>
          <w:sz w:val="28"/>
          <w:szCs w:val="28"/>
        </w:rPr>
      </w:pPr>
    </w:p>
    <w:p w14:paraId="0F784D6E" w14:textId="77777777" w:rsidR="00136892" w:rsidRDefault="00136892">
      <w:pPr>
        <w:rPr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1980"/>
        <w:gridCol w:w="4252"/>
        <w:gridCol w:w="4962"/>
        <w:gridCol w:w="4194"/>
      </w:tblGrid>
      <w:tr w:rsidR="007861DB" w14:paraId="77390F48" w14:textId="74D66AC0" w:rsidTr="007861DB">
        <w:trPr>
          <w:trHeight w:val="435"/>
        </w:trPr>
        <w:tc>
          <w:tcPr>
            <w:tcW w:w="11194" w:type="dxa"/>
            <w:gridSpan w:val="3"/>
          </w:tcPr>
          <w:p w14:paraId="3EA5BC64" w14:textId="77777777" w:rsidR="007861DB" w:rsidRPr="00DD7D50" w:rsidRDefault="007861DB" w:rsidP="002F79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Décodage</w:t>
            </w:r>
          </w:p>
        </w:tc>
        <w:tc>
          <w:tcPr>
            <w:tcW w:w="4194" w:type="dxa"/>
          </w:tcPr>
          <w:p w14:paraId="60CA2FE6" w14:textId="77777777" w:rsidR="007861DB" w:rsidRDefault="007861DB" w:rsidP="002F79CC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861DB" w14:paraId="7690129D" w14:textId="479C76FA" w:rsidTr="007861DB">
        <w:trPr>
          <w:trHeight w:val="335"/>
        </w:trPr>
        <w:tc>
          <w:tcPr>
            <w:tcW w:w="1980" w:type="dxa"/>
          </w:tcPr>
          <w:p w14:paraId="11121A83" w14:textId="77777777" w:rsidR="007861DB" w:rsidRDefault="007861DB" w:rsidP="007861D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E8FBEAC" w14:textId="3E05E60A" w:rsidR="007861DB" w:rsidRDefault="007861DB" w:rsidP="007861D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Difficultés</w:t>
            </w:r>
          </w:p>
        </w:tc>
        <w:tc>
          <w:tcPr>
            <w:tcW w:w="4962" w:type="dxa"/>
          </w:tcPr>
          <w:p w14:paraId="6B92B754" w14:textId="0356D040" w:rsidR="007861DB" w:rsidRDefault="007861DB" w:rsidP="007861DB">
            <w:pPr>
              <w:rPr>
                <w:sz w:val="28"/>
                <w:szCs w:val="28"/>
              </w:rPr>
            </w:pPr>
            <w:r w:rsidRPr="008B59D6">
              <w:rPr>
                <w:sz w:val="24"/>
                <w:szCs w:val="24"/>
              </w:rPr>
              <w:t>Remédiations</w:t>
            </w:r>
          </w:p>
        </w:tc>
        <w:tc>
          <w:tcPr>
            <w:tcW w:w="4194" w:type="dxa"/>
          </w:tcPr>
          <w:p w14:paraId="588D284A" w14:textId="347FC6B9" w:rsidR="007861DB" w:rsidRDefault="007861DB" w:rsidP="007861DB">
            <w:pPr>
              <w:rPr>
                <w:sz w:val="28"/>
                <w:szCs w:val="28"/>
              </w:rPr>
            </w:pPr>
            <w:r w:rsidRPr="008B59D6">
              <w:rPr>
                <w:sz w:val="24"/>
                <w:szCs w:val="24"/>
              </w:rPr>
              <w:t>Supports</w:t>
            </w:r>
          </w:p>
        </w:tc>
      </w:tr>
      <w:tr w:rsidR="007861DB" w14:paraId="2BD15399" w14:textId="3A4F860F" w:rsidTr="007861DB">
        <w:trPr>
          <w:trHeight w:val="335"/>
        </w:trPr>
        <w:tc>
          <w:tcPr>
            <w:tcW w:w="1980" w:type="dxa"/>
            <w:vMerge w:val="restart"/>
          </w:tcPr>
          <w:p w14:paraId="630C3DE2" w14:textId="249F3358" w:rsidR="007861DB" w:rsidRDefault="007861DB" w:rsidP="002F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Combinatoire (assemblage)</w:t>
            </w:r>
          </w:p>
        </w:tc>
        <w:tc>
          <w:tcPr>
            <w:tcW w:w="4252" w:type="dxa"/>
          </w:tcPr>
          <w:p w14:paraId="67AEE356" w14:textId="3F5E997B" w:rsidR="007861DB" w:rsidRPr="00B24D9F" w:rsidRDefault="007861DB" w:rsidP="002F79CC">
            <w:r>
              <w:t>Décodage non automatisé</w:t>
            </w:r>
          </w:p>
        </w:tc>
        <w:tc>
          <w:tcPr>
            <w:tcW w:w="4962" w:type="dxa"/>
          </w:tcPr>
          <w:p w14:paraId="3B544B16" w14:textId="463F043E" w:rsidR="007861DB" w:rsidRPr="00B24D9F" w:rsidRDefault="00432835" w:rsidP="002F79CC">
            <w:r>
              <w:t xml:space="preserve">Lecture orale de syllabes </w:t>
            </w:r>
          </w:p>
        </w:tc>
        <w:tc>
          <w:tcPr>
            <w:tcW w:w="4194" w:type="dxa"/>
          </w:tcPr>
          <w:p w14:paraId="4EFC4C6D" w14:textId="77777777" w:rsidR="007861DB" w:rsidRDefault="00432835" w:rsidP="002F79CC">
            <w:r>
              <w:t xml:space="preserve">Syllabogrammes, </w:t>
            </w:r>
            <w:proofErr w:type="spellStart"/>
            <w:r>
              <w:t>syllaboflashes</w:t>
            </w:r>
            <w:proofErr w:type="spellEnd"/>
          </w:p>
          <w:p w14:paraId="17D6CBDD" w14:textId="7A2716CE" w:rsidR="00432835" w:rsidRPr="00B24D9F" w:rsidRDefault="00432835" w:rsidP="002F79CC">
            <w:proofErr w:type="spellStart"/>
            <w:r>
              <w:t>Syllabozoo</w:t>
            </w:r>
            <w:proofErr w:type="spellEnd"/>
          </w:p>
        </w:tc>
      </w:tr>
      <w:tr w:rsidR="0082402B" w14:paraId="0F095E8F" w14:textId="26578BAB" w:rsidTr="007861DB">
        <w:trPr>
          <w:trHeight w:val="335"/>
        </w:trPr>
        <w:tc>
          <w:tcPr>
            <w:tcW w:w="1980" w:type="dxa"/>
            <w:vMerge/>
          </w:tcPr>
          <w:p w14:paraId="6396833F" w14:textId="77777777" w:rsidR="0082402B" w:rsidRDefault="0082402B" w:rsidP="008240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9BD64AC" w14:textId="77777777" w:rsidR="0082402B" w:rsidRPr="00B24D9F" w:rsidRDefault="0082402B" w:rsidP="0082402B">
            <w:r w:rsidRPr="00B24D9F">
              <w:t>Lecture séquentielle : pas de prise en compte de la syllabe</w:t>
            </w:r>
          </w:p>
          <w:p w14:paraId="2035E566" w14:textId="71CC1F8E" w:rsidR="0082402B" w:rsidRPr="00B24D9F" w:rsidRDefault="0082402B" w:rsidP="0082402B">
            <w:r w:rsidRPr="00B24D9F">
              <w:t>Pas de repérage des di ou trigrammes</w:t>
            </w:r>
          </w:p>
        </w:tc>
        <w:tc>
          <w:tcPr>
            <w:tcW w:w="4962" w:type="dxa"/>
          </w:tcPr>
          <w:p w14:paraId="4EAE47E8" w14:textId="5F5E28E0" w:rsidR="0082402B" w:rsidRPr="00B24D9F" w:rsidRDefault="0082402B" w:rsidP="0082402B">
            <w:r w:rsidRPr="000A146C">
              <w:rPr>
                <w:b/>
                <w:bCs/>
                <w:color w:val="538135" w:themeColor="accent6" w:themeShade="BF"/>
              </w:rPr>
              <w:t>Découpage syllabique des mots d’un texte</w:t>
            </w:r>
          </w:p>
        </w:tc>
        <w:tc>
          <w:tcPr>
            <w:tcW w:w="4194" w:type="dxa"/>
          </w:tcPr>
          <w:p w14:paraId="0795E34F" w14:textId="3A530DE4" w:rsidR="0082402B" w:rsidRPr="00B24D9F" w:rsidRDefault="0082402B" w:rsidP="0082402B">
            <w:r w:rsidRPr="000A146C">
              <w:rPr>
                <w:b/>
                <w:bCs/>
                <w:color w:val="538135" w:themeColor="accent6" w:themeShade="BF"/>
              </w:rPr>
              <w:t>Traces écrites des élèves / extraits de texte</w:t>
            </w:r>
          </w:p>
        </w:tc>
      </w:tr>
      <w:tr w:rsidR="007861DB" w14:paraId="2E0E8B6F" w14:textId="77777777" w:rsidTr="007861DB">
        <w:trPr>
          <w:trHeight w:val="335"/>
        </w:trPr>
        <w:tc>
          <w:tcPr>
            <w:tcW w:w="1980" w:type="dxa"/>
            <w:vMerge/>
          </w:tcPr>
          <w:p w14:paraId="53CD3710" w14:textId="7777777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2C644D9" w14:textId="171662BA" w:rsidR="007861DB" w:rsidRPr="00B24D9F" w:rsidRDefault="007861DB" w:rsidP="007861DB">
            <w:r>
              <w:t>Pas de stratégie de décodage</w:t>
            </w:r>
          </w:p>
        </w:tc>
        <w:tc>
          <w:tcPr>
            <w:tcW w:w="4962" w:type="dxa"/>
          </w:tcPr>
          <w:p w14:paraId="5756322C" w14:textId="77777777" w:rsidR="007861DB" w:rsidRDefault="00432835" w:rsidP="002F79CC">
            <w:r>
              <w:t>Entrainements fluence</w:t>
            </w:r>
          </w:p>
          <w:p w14:paraId="5B45B509" w14:textId="77777777" w:rsidR="00432835" w:rsidRDefault="00432835" w:rsidP="002F79CC"/>
          <w:p w14:paraId="0B4BD8C1" w14:textId="7D55132B" w:rsidR="00432835" w:rsidRPr="00B24D9F" w:rsidRDefault="00432835" w:rsidP="002F79CC">
            <w:r>
              <w:t xml:space="preserve">Explicitation des stratégies de lecture de graphèmes complexes (ex AN : </w:t>
            </w:r>
            <w:proofErr w:type="spellStart"/>
            <w:r>
              <w:t>annie</w:t>
            </w:r>
            <w:proofErr w:type="spellEnd"/>
            <w:r>
              <w:t xml:space="preserve">, </w:t>
            </w:r>
            <w:proofErr w:type="spellStart"/>
            <w:r>
              <w:t>andré</w:t>
            </w:r>
            <w:proofErr w:type="spellEnd"/>
            <w:r>
              <w:t xml:space="preserve">, </w:t>
            </w:r>
            <w:proofErr w:type="spellStart"/>
            <w:r>
              <w:t>daniel</w:t>
            </w:r>
            <w:proofErr w:type="spellEnd"/>
            <w:r>
              <w:t>)</w:t>
            </w:r>
          </w:p>
        </w:tc>
        <w:tc>
          <w:tcPr>
            <w:tcW w:w="4194" w:type="dxa"/>
          </w:tcPr>
          <w:p w14:paraId="2D93B545" w14:textId="77777777" w:rsidR="007861DB" w:rsidRDefault="00432835" w:rsidP="002F79CC">
            <w:r>
              <w:t>Ed La Cigale</w:t>
            </w:r>
          </w:p>
          <w:p w14:paraId="77C72620" w14:textId="03D1898B" w:rsidR="00432835" w:rsidRPr="00B24D9F" w:rsidRDefault="00432835" w:rsidP="002F79CC">
            <w:r>
              <w:t xml:space="preserve">Fichier </w:t>
            </w:r>
            <w:proofErr w:type="spellStart"/>
            <w:r>
              <w:t>velociraptor</w:t>
            </w:r>
            <w:proofErr w:type="spellEnd"/>
            <w:r>
              <w:t>, fichier Fluor</w:t>
            </w:r>
          </w:p>
        </w:tc>
      </w:tr>
      <w:tr w:rsidR="007861DB" w14:paraId="6B524087" w14:textId="77777777" w:rsidTr="007861DB">
        <w:trPr>
          <w:trHeight w:val="335"/>
        </w:trPr>
        <w:tc>
          <w:tcPr>
            <w:tcW w:w="1980" w:type="dxa"/>
            <w:vMerge/>
          </w:tcPr>
          <w:p w14:paraId="52314884" w14:textId="7777777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7B7CE36" w14:textId="28FC1F2B" w:rsidR="007861DB" w:rsidRDefault="007861DB" w:rsidP="007861DB">
            <w:r w:rsidRPr="00B24D9F">
              <w:t>Inversions, confusion de</w:t>
            </w:r>
            <w:r>
              <w:t xml:space="preserve"> </w:t>
            </w:r>
            <w:r w:rsidRPr="00B24D9F">
              <w:t>sons</w:t>
            </w:r>
          </w:p>
        </w:tc>
        <w:tc>
          <w:tcPr>
            <w:tcW w:w="4962" w:type="dxa"/>
          </w:tcPr>
          <w:p w14:paraId="22CFD088" w14:textId="77777777" w:rsidR="007861DB" w:rsidRDefault="000F7A65" w:rsidP="002F79CC">
            <w:r>
              <w:t>Révision des sons complexes.</w:t>
            </w:r>
          </w:p>
          <w:p w14:paraId="716EDAC9" w14:textId="4187215B" w:rsidR="000F7A65" w:rsidRPr="00B24D9F" w:rsidRDefault="000F7A65" w:rsidP="002F79CC">
            <w:r>
              <w:t>Lectures de syllabes opposées</w:t>
            </w:r>
          </w:p>
        </w:tc>
        <w:tc>
          <w:tcPr>
            <w:tcW w:w="4194" w:type="dxa"/>
          </w:tcPr>
          <w:p w14:paraId="3240D068" w14:textId="77777777" w:rsidR="00736152" w:rsidRDefault="00736152" w:rsidP="00736152">
            <w:pPr>
              <w:rPr>
                <w:color w:val="FF0000"/>
              </w:rPr>
            </w:pPr>
            <w:r>
              <w:rPr>
                <w:color w:val="FF0000"/>
              </w:rPr>
              <w:t>Dictée de syllabes, on peut utiliser l’ardoise, binôme</w:t>
            </w:r>
          </w:p>
          <w:p w14:paraId="7B87E325" w14:textId="77777777" w:rsidR="00736152" w:rsidRDefault="00736152" w:rsidP="00736152">
            <w:pPr>
              <w:rPr>
                <w:color w:val="FF0000"/>
              </w:rPr>
            </w:pPr>
            <w:r>
              <w:rPr>
                <w:color w:val="FF0000"/>
              </w:rPr>
              <w:t>Utiliser des supports ludiques : dicter le nom de personnages qu’ils connaissent (dessins animés, albums, etc.)</w:t>
            </w:r>
          </w:p>
          <w:p w14:paraId="68437BDB" w14:textId="77777777" w:rsidR="007861DB" w:rsidRDefault="00736152" w:rsidP="00736152">
            <w:pPr>
              <w:rPr>
                <w:color w:val="FF0000"/>
              </w:rPr>
            </w:pPr>
            <w:r>
              <w:rPr>
                <w:color w:val="FF0000"/>
              </w:rPr>
              <w:t xml:space="preserve">Demander toutes les manières </w:t>
            </w:r>
            <w:proofErr w:type="gramStart"/>
            <w:r>
              <w:rPr>
                <w:color w:val="FF0000"/>
              </w:rPr>
              <w:t>d’écrire  chaque</w:t>
            </w:r>
            <w:proofErr w:type="gramEnd"/>
            <w:r>
              <w:rPr>
                <w:color w:val="FF0000"/>
              </w:rPr>
              <w:t xml:space="preserve"> son simple et complexe avec des pseudo-mots</w:t>
            </w:r>
          </w:p>
          <w:p w14:paraId="6880AE4A" w14:textId="77777777" w:rsidR="0082402B" w:rsidRDefault="0082402B" w:rsidP="00736152">
            <w:pPr>
              <w:rPr>
                <w:b/>
                <w:bCs/>
                <w:color w:val="538135" w:themeColor="accent6" w:themeShade="BF"/>
              </w:rPr>
            </w:pPr>
            <w:r w:rsidRPr="000072FA">
              <w:rPr>
                <w:b/>
                <w:bCs/>
                <w:color w:val="538135" w:themeColor="accent6" w:themeShade="BF"/>
              </w:rPr>
              <w:t>Fiches sons / je mémorise et je sais écrire des mots au CM1/CM2</w:t>
            </w:r>
          </w:p>
          <w:p w14:paraId="44CC43CF" w14:textId="5909BAD8" w:rsidR="00136892" w:rsidRPr="00B24D9F" w:rsidRDefault="00136892" w:rsidP="00736152">
            <w:r w:rsidRPr="00136892">
              <w:rPr>
                <w:b/>
                <w:bCs/>
                <w:color w:val="833C0B" w:themeColor="accent2" w:themeShade="80"/>
              </w:rPr>
              <w:t>Virelangues</w:t>
            </w:r>
          </w:p>
        </w:tc>
      </w:tr>
      <w:tr w:rsidR="007861DB" w14:paraId="14A538A7" w14:textId="77777777" w:rsidTr="007861DB">
        <w:trPr>
          <w:trHeight w:val="335"/>
        </w:trPr>
        <w:tc>
          <w:tcPr>
            <w:tcW w:w="1980" w:type="dxa"/>
            <w:vMerge/>
          </w:tcPr>
          <w:p w14:paraId="2B5F0366" w14:textId="7777777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7123565" w14:textId="3DA1C511" w:rsidR="007861DB" w:rsidRPr="00B24D9F" w:rsidRDefault="000F7A65" w:rsidP="007861DB">
            <w:r>
              <w:t>Ne s’appuie pas sur le sens</w:t>
            </w:r>
          </w:p>
        </w:tc>
        <w:tc>
          <w:tcPr>
            <w:tcW w:w="4962" w:type="dxa"/>
          </w:tcPr>
          <w:p w14:paraId="10975FA0" w14:textId="4FB694C1" w:rsidR="007861DB" w:rsidRPr="00B24D9F" w:rsidRDefault="000F7A65" w:rsidP="002F79CC">
            <w:r>
              <w:t>Auto-contrôler sa lecture, détecter une anomalie</w:t>
            </w:r>
          </w:p>
        </w:tc>
        <w:tc>
          <w:tcPr>
            <w:tcW w:w="4194" w:type="dxa"/>
          </w:tcPr>
          <w:p w14:paraId="1A3C4163" w14:textId="3C4696FA" w:rsidR="007861DB" w:rsidRPr="00136892" w:rsidRDefault="00136892" w:rsidP="002F79CC">
            <w:pPr>
              <w:rPr>
                <w:b/>
                <w:bCs/>
              </w:rPr>
            </w:pPr>
            <w:r w:rsidRPr="00136892">
              <w:rPr>
                <w:b/>
                <w:bCs/>
                <w:color w:val="833C0B" w:themeColor="accent2" w:themeShade="80"/>
              </w:rPr>
              <w:t>Enregistrements audios</w:t>
            </w:r>
          </w:p>
        </w:tc>
      </w:tr>
      <w:tr w:rsidR="0082402B" w14:paraId="4D5B09E2" w14:textId="77777777" w:rsidTr="007861DB">
        <w:trPr>
          <w:trHeight w:val="335"/>
        </w:trPr>
        <w:tc>
          <w:tcPr>
            <w:tcW w:w="1980" w:type="dxa"/>
            <w:vMerge/>
          </w:tcPr>
          <w:p w14:paraId="217B0F4C" w14:textId="77777777" w:rsidR="0082402B" w:rsidRDefault="0082402B" w:rsidP="008240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906AC08" w14:textId="46222ABA" w:rsidR="0082402B" w:rsidRPr="00B24D9F" w:rsidRDefault="0082402B" w:rsidP="0082402B">
            <w:r w:rsidRPr="00101DF6">
              <w:rPr>
                <w:b/>
                <w:bCs/>
                <w:color w:val="538135" w:themeColor="accent6" w:themeShade="BF"/>
              </w:rPr>
              <w:t>Lecture de lettres muettes / finale</w:t>
            </w:r>
          </w:p>
        </w:tc>
        <w:tc>
          <w:tcPr>
            <w:tcW w:w="4962" w:type="dxa"/>
          </w:tcPr>
          <w:p w14:paraId="60026514" w14:textId="27CE018E" w:rsidR="0082402B" w:rsidRPr="00B24D9F" w:rsidRDefault="0082402B" w:rsidP="0082402B">
            <w:r w:rsidRPr="000072FA">
              <w:rPr>
                <w:b/>
                <w:bCs/>
                <w:color w:val="538135" w:themeColor="accent6" w:themeShade="BF"/>
              </w:rPr>
              <w:t xml:space="preserve">Utiliser les mots selon le sens / </w:t>
            </w:r>
          </w:p>
        </w:tc>
        <w:tc>
          <w:tcPr>
            <w:tcW w:w="4194" w:type="dxa"/>
          </w:tcPr>
          <w:p w14:paraId="56EC969E" w14:textId="251E7237" w:rsidR="0082402B" w:rsidRPr="00B24D9F" w:rsidRDefault="0082402B" w:rsidP="0082402B">
            <w:r w:rsidRPr="000072FA">
              <w:rPr>
                <w:b/>
                <w:bCs/>
                <w:color w:val="538135" w:themeColor="accent6" w:themeShade="BF"/>
              </w:rPr>
              <w:t>Liste de mots/ enregistrements de mots</w:t>
            </w:r>
          </w:p>
        </w:tc>
      </w:tr>
      <w:tr w:rsidR="0082402B" w14:paraId="67B2CEC0" w14:textId="77777777" w:rsidTr="007861DB">
        <w:trPr>
          <w:trHeight w:val="335"/>
        </w:trPr>
        <w:tc>
          <w:tcPr>
            <w:tcW w:w="1980" w:type="dxa"/>
            <w:vMerge/>
          </w:tcPr>
          <w:p w14:paraId="3896FED1" w14:textId="77777777" w:rsidR="0082402B" w:rsidRDefault="0082402B" w:rsidP="008240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3BA57FE" w14:textId="77777777" w:rsidR="0082402B" w:rsidRPr="00B24D9F" w:rsidRDefault="0082402B" w:rsidP="0082402B"/>
        </w:tc>
        <w:tc>
          <w:tcPr>
            <w:tcW w:w="4962" w:type="dxa"/>
          </w:tcPr>
          <w:p w14:paraId="6ECE6A5C" w14:textId="1C10625A" w:rsidR="0082402B" w:rsidRPr="00B24D9F" w:rsidRDefault="0082402B" w:rsidP="0082402B">
            <w:r w:rsidRPr="000072FA">
              <w:rPr>
                <w:b/>
                <w:bCs/>
                <w:color w:val="538135" w:themeColor="accent6" w:themeShade="BF"/>
              </w:rPr>
              <w:t>Jeu sur les homonymes/homophones lexicaux</w:t>
            </w:r>
          </w:p>
        </w:tc>
        <w:tc>
          <w:tcPr>
            <w:tcW w:w="4194" w:type="dxa"/>
          </w:tcPr>
          <w:p w14:paraId="7FD3495F" w14:textId="77777777" w:rsidR="0082402B" w:rsidRPr="00B24D9F" w:rsidRDefault="0082402B" w:rsidP="0082402B"/>
        </w:tc>
      </w:tr>
      <w:tr w:rsidR="007861DB" w14:paraId="2F4547FF" w14:textId="1C3E0C6B" w:rsidTr="007861DB">
        <w:trPr>
          <w:trHeight w:val="352"/>
        </w:trPr>
        <w:tc>
          <w:tcPr>
            <w:tcW w:w="1980" w:type="dxa"/>
            <w:vMerge w:val="restart"/>
          </w:tcPr>
          <w:p w14:paraId="70510075" w14:textId="1F5CA10C" w:rsidR="007861DB" w:rsidRDefault="007861DB" w:rsidP="002F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Adressage</w:t>
            </w:r>
          </w:p>
        </w:tc>
        <w:tc>
          <w:tcPr>
            <w:tcW w:w="4252" w:type="dxa"/>
          </w:tcPr>
          <w:p w14:paraId="6E8B8B67" w14:textId="3D7A407B" w:rsidR="007861DB" w:rsidRPr="00B24D9F" w:rsidRDefault="007861DB" w:rsidP="002F79CC">
            <w:r>
              <w:t>Décodage systématique, pas d’adressage</w:t>
            </w:r>
          </w:p>
        </w:tc>
        <w:tc>
          <w:tcPr>
            <w:tcW w:w="4962" w:type="dxa"/>
          </w:tcPr>
          <w:p w14:paraId="7A6FD4D7" w14:textId="4B54EA51" w:rsidR="007861DB" w:rsidRPr="00B24D9F" w:rsidRDefault="00432835" w:rsidP="002F79CC">
            <w:r>
              <w:t>Lecture flash de mots</w:t>
            </w:r>
          </w:p>
        </w:tc>
        <w:tc>
          <w:tcPr>
            <w:tcW w:w="4194" w:type="dxa"/>
          </w:tcPr>
          <w:p w14:paraId="136F19A0" w14:textId="18CACAAE" w:rsidR="007861DB" w:rsidRPr="00B24D9F" w:rsidRDefault="0082402B" w:rsidP="002F79CC">
            <w:r w:rsidRPr="000072FA">
              <w:rPr>
                <w:b/>
                <w:bCs/>
                <w:color w:val="538135" w:themeColor="accent6" w:themeShade="BF"/>
              </w:rPr>
              <w:t>Liste de mots / mots invariables</w:t>
            </w:r>
          </w:p>
        </w:tc>
      </w:tr>
      <w:tr w:rsidR="007861DB" w14:paraId="2E77D4BA" w14:textId="2836BDCF" w:rsidTr="007861DB">
        <w:trPr>
          <w:trHeight w:val="352"/>
        </w:trPr>
        <w:tc>
          <w:tcPr>
            <w:tcW w:w="1980" w:type="dxa"/>
            <w:vMerge/>
          </w:tcPr>
          <w:p w14:paraId="1880EECC" w14:textId="1CAC76F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555D643" w14:textId="160884DB" w:rsidR="007861DB" w:rsidRPr="00B24D9F" w:rsidRDefault="007861DB" w:rsidP="002F79CC">
            <w:r w:rsidRPr="00B24D9F">
              <w:t xml:space="preserve">Peu de lexique mémorisé </w:t>
            </w:r>
          </w:p>
        </w:tc>
        <w:tc>
          <w:tcPr>
            <w:tcW w:w="4962" w:type="dxa"/>
          </w:tcPr>
          <w:p w14:paraId="7277C9C5" w14:textId="48A2D565" w:rsidR="007861DB" w:rsidRDefault="00432835" w:rsidP="002F79CC">
            <w:r>
              <w:t>Mémoriser du vocabulaire lors de séances spécifiques</w:t>
            </w:r>
          </w:p>
          <w:p w14:paraId="29E16793" w14:textId="64D552CB" w:rsidR="00432835" w:rsidRDefault="00192AA9" w:rsidP="002F79CC">
            <w:r>
              <w:t>Travailler l</w:t>
            </w:r>
            <w:r w:rsidR="00432835">
              <w:t>es affixes</w:t>
            </w:r>
            <w:r>
              <w:t> : préfixes, suffixes</w:t>
            </w:r>
          </w:p>
          <w:p w14:paraId="5B5BAAD6" w14:textId="66B5B453" w:rsidR="00432835" w:rsidRDefault="00432835" w:rsidP="002F79CC">
            <w:r>
              <w:t>Dictées de mots</w:t>
            </w:r>
          </w:p>
          <w:p w14:paraId="69098D1F" w14:textId="46EA6800" w:rsidR="00432835" w:rsidRPr="00B24D9F" w:rsidRDefault="00432835" w:rsidP="002F79CC">
            <w:r>
              <w:t>Activités de copie</w:t>
            </w:r>
          </w:p>
        </w:tc>
        <w:tc>
          <w:tcPr>
            <w:tcW w:w="4194" w:type="dxa"/>
          </w:tcPr>
          <w:p w14:paraId="2CC49C90" w14:textId="77777777" w:rsidR="007861DB" w:rsidRDefault="00432835" w:rsidP="002F79CC">
            <w:r>
              <w:t xml:space="preserve">Protocole </w:t>
            </w:r>
            <w:proofErr w:type="spellStart"/>
            <w:r>
              <w:t>Narramus</w:t>
            </w:r>
            <w:proofErr w:type="spellEnd"/>
            <w:r>
              <w:t xml:space="preserve"> adapté au C3</w:t>
            </w:r>
          </w:p>
          <w:p w14:paraId="41961CD1" w14:textId="45DBAF29" w:rsidR="00432835" w:rsidRDefault="00432835" w:rsidP="002F79CC"/>
          <w:p w14:paraId="60020D7B" w14:textId="77777777" w:rsidR="00736152" w:rsidRDefault="00736152" w:rsidP="00736152">
            <w:pPr>
              <w:rPr>
                <w:color w:val="FF0000"/>
              </w:rPr>
            </w:pPr>
            <w:r>
              <w:rPr>
                <w:color w:val="FF0000"/>
              </w:rPr>
              <w:t xml:space="preserve">Carnet de vocabulaire </w:t>
            </w:r>
          </w:p>
          <w:p w14:paraId="49CC148E" w14:textId="77777777" w:rsidR="00736152" w:rsidRDefault="00736152" w:rsidP="00736152">
            <w:pPr>
              <w:rPr>
                <w:color w:val="FF0000"/>
              </w:rPr>
            </w:pPr>
            <w:r>
              <w:rPr>
                <w:color w:val="FF0000"/>
              </w:rPr>
              <w:t xml:space="preserve">Un portant de vocabulaire (une affiche sur un cintre par matière avec le vocabulaire spécifique réalisée par les élèves). Les élèves peuvent les consulter à tout moment </w:t>
            </w:r>
          </w:p>
          <w:p w14:paraId="3CDB212F" w14:textId="7B1AD134" w:rsidR="00432835" w:rsidRDefault="00432835" w:rsidP="002F79CC"/>
          <w:p w14:paraId="4ED8B6AB" w14:textId="47C6F0EB" w:rsidR="00136892" w:rsidRPr="00136892" w:rsidRDefault="00136892" w:rsidP="002F79CC">
            <w:pPr>
              <w:rPr>
                <w:b/>
                <w:bCs/>
                <w:color w:val="833C0B" w:themeColor="accent2" w:themeShade="80"/>
              </w:rPr>
            </w:pPr>
            <w:r w:rsidRPr="00136892">
              <w:rPr>
                <w:b/>
                <w:bCs/>
                <w:color w:val="833C0B" w:themeColor="accent2" w:themeShade="80"/>
              </w:rPr>
              <w:t>Recherches étymologiques, boite à mots</w:t>
            </w:r>
          </w:p>
          <w:p w14:paraId="288E1006" w14:textId="4C10D57E" w:rsidR="00432835" w:rsidRDefault="00432835" w:rsidP="002F79CC">
            <w:r>
              <w:t>Livret Dictée</w:t>
            </w:r>
          </w:p>
          <w:p w14:paraId="571C67E5" w14:textId="6F14FD42" w:rsidR="00432835" w:rsidRPr="00B24D9F" w:rsidRDefault="00432835" w:rsidP="002F79CC">
            <w:r>
              <w:lastRenderedPageBreak/>
              <w:t>Livret copie</w:t>
            </w:r>
          </w:p>
        </w:tc>
      </w:tr>
      <w:tr w:rsidR="007861DB" w14:paraId="1F6570E2" w14:textId="77CA90C8" w:rsidTr="007861DB">
        <w:trPr>
          <w:trHeight w:val="352"/>
        </w:trPr>
        <w:tc>
          <w:tcPr>
            <w:tcW w:w="1980" w:type="dxa"/>
            <w:vMerge/>
          </w:tcPr>
          <w:p w14:paraId="46289DB7" w14:textId="7777777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F374D86" w14:textId="529D0125" w:rsidR="007861DB" w:rsidRPr="00B24D9F" w:rsidRDefault="007861DB" w:rsidP="002F79CC">
            <w:r w:rsidRPr="00B24D9F">
              <w:t>Mauvaise segmentation des mots</w:t>
            </w:r>
            <w:r w:rsidR="00432835">
              <w:t xml:space="preserve"> et des groupes de mots (groupes de sens)</w:t>
            </w:r>
          </w:p>
        </w:tc>
        <w:tc>
          <w:tcPr>
            <w:tcW w:w="4962" w:type="dxa"/>
          </w:tcPr>
          <w:p w14:paraId="39EB4064" w14:textId="77777777" w:rsidR="007861DB" w:rsidRDefault="00432835" w:rsidP="002F79CC">
            <w:r>
              <w:t>Proposer des textes adaptés</w:t>
            </w:r>
          </w:p>
          <w:p w14:paraId="27A5D191" w14:textId="11120443" w:rsidR="00432835" w:rsidRPr="00B24D9F" w:rsidRDefault="00432835" w:rsidP="002F79CC">
            <w:proofErr w:type="gramStart"/>
            <w:r w:rsidRPr="00B24D9F">
              <w:t>auto</w:t>
            </w:r>
            <w:proofErr w:type="gramEnd"/>
            <w:r w:rsidRPr="00B24D9F">
              <w:t>-contrôle de sa lecture : appui sur le sens</w:t>
            </w:r>
          </w:p>
        </w:tc>
        <w:tc>
          <w:tcPr>
            <w:tcW w:w="4194" w:type="dxa"/>
          </w:tcPr>
          <w:p w14:paraId="615E1476" w14:textId="77777777" w:rsidR="007861DB" w:rsidRDefault="00432835" w:rsidP="002F79CC">
            <w:r>
              <w:t>Textes colorés, mots espacés</w:t>
            </w:r>
          </w:p>
          <w:p w14:paraId="31214BA2" w14:textId="5CCEA330" w:rsidR="00432835" w:rsidRPr="00B24D9F" w:rsidRDefault="00432835" w:rsidP="002F79CC">
            <w:r>
              <w:t xml:space="preserve">Fichiers de lecture de mots (en ligne, en colonne, mots </w:t>
            </w:r>
            <w:proofErr w:type="spellStart"/>
            <w:r>
              <w:t>mélés</w:t>
            </w:r>
            <w:proofErr w:type="spellEnd"/>
            <w:r>
              <w:t>, …)</w:t>
            </w:r>
          </w:p>
        </w:tc>
      </w:tr>
      <w:tr w:rsidR="007861DB" w14:paraId="3C7BD271" w14:textId="655F4CCF" w:rsidTr="007861DB">
        <w:trPr>
          <w:trHeight w:val="335"/>
        </w:trPr>
        <w:tc>
          <w:tcPr>
            <w:tcW w:w="1980" w:type="dxa"/>
            <w:vMerge/>
          </w:tcPr>
          <w:p w14:paraId="11A85357" w14:textId="7777777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3F6562A" w14:textId="55675F3C" w:rsidR="007861DB" w:rsidRPr="00B24D9F" w:rsidRDefault="007861DB" w:rsidP="002F79CC"/>
        </w:tc>
        <w:tc>
          <w:tcPr>
            <w:tcW w:w="4962" w:type="dxa"/>
          </w:tcPr>
          <w:p w14:paraId="2C54638D" w14:textId="77777777" w:rsidR="007861DB" w:rsidRPr="00B24D9F" w:rsidRDefault="007861DB" w:rsidP="002F79CC"/>
        </w:tc>
        <w:tc>
          <w:tcPr>
            <w:tcW w:w="4194" w:type="dxa"/>
          </w:tcPr>
          <w:p w14:paraId="14127B91" w14:textId="0BD426D3" w:rsidR="007861DB" w:rsidRPr="00B24D9F" w:rsidRDefault="00736152" w:rsidP="002F79CC">
            <w:r>
              <w:rPr>
                <w:color w:val="FF0000"/>
              </w:rPr>
              <w:t>Picot Grammaire</w:t>
            </w:r>
          </w:p>
        </w:tc>
      </w:tr>
      <w:tr w:rsidR="0082402B" w14:paraId="3CC937FE" w14:textId="241B1F67" w:rsidTr="007861DB">
        <w:trPr>
          <w:trHeight w:val="335"/>
        </w:trPr>
        <w:tc>
          <w:tcPr>
            <w:tcW w:w="1980" w:type="dxa"/>
            <w:vMerge/>
          </w:tcPr>
          <w:p w14:paraId="7545180F" w14:textId="77777777" w:rsidR="0082402B" w:rsidRDefault="0082402B" w:rsidP="0082402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6B8DD93" w14:textId="23861B56" w:rsidR="0082402B" w:rsidRPr="00B24D9F" w:rsidRDefault="0082402B" w:rsidP="0082402B"/>
        </w:tc>
        <w:tc>
          <w:tcPr>
            <w:tcW w:w="4962" w:type="dxa"/>
          </w:tcPr>
          <w:p w14:paraId="2D19406C" w14:textId="055F4F9E" w:rsidR="0082402B" w:rsidRPr="00B24D9F" w:rsidRDefault="0082402B" w:rsidP="0082402B">
            <w:r w:rsidRPr="000072FA">
              <w:rPr>
                <w:b/>
                <w:bCs/>
                <w:color w:val="538135" w:themeColor="accent6" w:themeShade="BF"/>
              </w:rPr>
              <w:t>Jeu épelle moi</w:t>
            </w:r>
          </w:p>
        </w:tc>
        <w:tc>
          <w:tcPr>
            <w:tcW w:w="4194" w:type="dxa"/>
          </w:tcPr>
          <w:p w14:paraId="3F906EF6" w14:textId="347E15E6" w:rsidR="0082402B" w:rsidRPr="00B24D9F" w:rsidRDefault="0082402B" w:rsidP="0082402B">
            <w:r w:rsidRPr="000072FA">
              <w:rPr>
                <w:b/>
                <w:bCs/>
                <w:color w:val="538135" w:themeColor="accent6" w:themeShade="BF"/>
              </w:rPr>
              <w:t>Liste de mots</w:t>
            </w:r>
          </w:p>
        </w:tc>
      </w:tr>
      <w:tr w:rsidR="007861DB" w14:paraId="49AFCC14" w14:textId="22FDA438" w:rsidTr="00192AA9">
        <w:trPr>
          <w:trHeight w:val="379"/>
        </w:trPr>
        <w:tc>
          <w:tcPr>
            <w:tcW w:w="1980" w:type="dxa"/>
            <w:vMerge/>
          </w:tcPr>
          <w:p w14:paraId="0E75CD10" w14:textId="77777777" w:rsidR="007861DB" w:rsidRDefault="007861DB" w:rsidP="002F79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848A4B8" w14:textId="13EA9252" w:rsidR="007861DB" w:rsidRPr="00B24D9F" w:rsidRDefault="007861DB" w:rsidP="002F79CC"/>
        </w:tc>
        <w:tc>
          <w:tcPr>
            <w:tcW w:w="4962" w:type="dxa"/>
          </w:tcPr>
          <w:p w14:paraId="75E412BD" w14:textId="77777777" w:rsidR="007861DB" w:rsidRPr="00B24D9F" w:rsidRDefault="007861DB" w:rsidP="002F79CC"/>
        </w:tc>
        <w:tc>
          <w:tcPr>
            <w:tcW w:w="4194" w:type="dxa"/>
          </w:tcPr>
          <w:p w14:paraId="7791AB71" w14:textId="77777777" w:rsidR="007861DB" w:rsidRPr="00B24D9F" w:rsidRDefault="007861DB" w:rsidP="002F79CC"/>
        </w:tc>
      </w:tr>
    </w:tbl>
    <w:p w14:paraId="64912191" w14:textId="7CF8A3C1" w:rsidR="00C0586B" w:rsidRDefault="00C0586B">
      <w:pPr>
        <w:rPr>
          <w:sz w:val="28"/>
          <w:szCs w:val="28"/>
        </w:rPr>
      </w:pPr>
    </w:p>
    <w:p w14:paraId="7C9F6063" w14:textId="77777777" w:rsidR="00736152" w:rsidRDefault="00736152" w:rsidP="0073615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Méthode D.E.C.L.I.C</w:t>
      </w:r>
    </w:p>
    <w:p w14:paraId="69AF1A8C" w14:textId="77777777" w:rsidR="00736152" w:rsidRPr="00656EA4" w:rsidRDefault="00736152">
      <w:pPr>
        <w:rPr>
          <w:sz w:val="28"/>
          <w:szCs w:val="28"/>
        </w:rPr>
      </w:pPr>
    </w:p>
    <w:sectPr w:rsidR="00736152" w:rsidRPr="00656EA4" w:rsidSect="00DD7D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A4"/>
    <w:rsid w:val="000F7A65"/>
    <w:rsid w:val="00136892"/>
    <w:rsid w:val="00192AA9"/>
    <w:rsid w:val="001F1451"/>
    <w:rsid w:val="003B6302"/>
    <w:rsid w:val="00432835"/>
    <w:rsid w:val="00656EA4"/>
    <w:rsid w:val="00722490"/>
    <w:rsid w:val="00736152"/>
    <w:rsid w:val="007861DB"/>
    <w:rsid w:val="0082402B"/>
    <w:rsid w:val="00867BD4"/>
    <w:rsid w:val="008B59D6"/>
    <w:rsid w:val="008C1F2C"/>
    <w:rsid w:val="00A85F1D"/>
    <w:rsid w:val="00AF1BB5"/>
    <w:rsid w:val="00B24D9F"/>
    <w:rsid w:val="00B368AB"/>
    <w:rsid w:val="00B72369"/>
    <w:rsid w:val="00C02D8D"/>
    <w:rsid w:val="00C034B0"/>
    <w:rsid w:val="00C0586B"/>
    <w:rsid w:val="00D43641"/>
    <w:rsid w:val="00D65437"/>
    <w:rsid w:val="00DD7D50"/>
    <w:rsid w:val="00E460EB"/>
    <w:rsid w:val="00EB6788"/>
    <w:rsid w:val="00F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E762"/>
  <w15:chartTrackingRefBased/>
  <w15:docId w15:val="{C31E0902-0FE6-4AFC-85A6-0950499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5</cp:revision>
  <dcterms:created xsi:type="dcterms:W3CDTF">2020-02-06T16:37:00Z</dcterms:created>
  <dcterms:modified xsi:type="dcterms:W3CDTF">2020-02-06T17:01:00Z</dcterms:modified>
</cp:coreProperties>
</file>